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057" w:type="dxa"/>
        <w:tblInd w:w="-1139" w:type="dxa"/>
        <w:tblLook w:val="04A0" w:firstRow="1" w:lastRow="0" w:firstColumn="1" w:lastColumn="0" w:noHBand="0" w:noVBand="1"/>
      </w:tblPr>
      <w:tblGrid>
        <w:gridCol w:w="551"/>
        <w:gridCol w:w="4330"/>
        <w:gridCol w:w="6176"/>
      </w:tblGrid>
      <w:tr w:rsidR="003F5CF0" w14:paraId="16C80022" w14:textId="77777777" w:rsidTr="00FC0230">
        <w:tc>
          <w:tcPr>
            <w:tcW w:w="11057" w:type="dxa"/>
            <w:gridSpan w:val="3"/>
          </w:tcPr>
          <w:p w14:paraId="16E092C7" w14:textId="77777777" w:rsidR="003F5CF0" w:rsidRDefault="003F5CF0">
            <w:pPr>
              <w:rPr>
                <w:b/>
                <w:bCs/>
                <w:sz w:val="28"/>
                <w:szCs w:val="28"/>
              </w:rPr>
            </w:pPr>
            <w:r w:rsidRPr="009550B7">
              <w:rPr>
                <w:b/>
                <w:bCs/>
                <w:sz w:val="28"/>
                <w:szCs w:val="28"/>
              </w:rPr>
              <w:t>Second verification FAQ</w:t>
            </w:r>
            <w:r w:rsidR="009550B7" w:rsidRPr="009550B7">
              <w:rPr>
                <w:b/>
                <w:bCs/>
                <w:sz w:val="28"/>
                <w:szCs w:val="28"/>
              </w:rPr>
              <w:t>s</w:t>
            </w:r>
          </w:p>
          <w:p w14:paraId="5459DEDF" w14:textId="7DB4A9BC" w:rsidR="009550B7" w:rsidRPr="009550B7" w:rsidRDefault="009550B7">
            <w:pPr>
              <w:rPr>
                <w:b/>
                <w:bCs/>
                <w:sz w:val="28"/>
                <w:szCs w:val="28"/>
              </w:rPr>
            </w:pPr>
          </w:p>
        </w:tc>
      </w:tr>
      <w:tr w:rsidR="003F5CF0" w14:paraId="02C6561D" w14:textId="77777777" w:rsidTr="009550B7">
        <w:tc>
          <w:tcPr>
            <w:tcW w:w="551" w:type="dxa"/>
          </w:tcPr>
          <w:p w14:paraId="1086B242" w14:textId="21797C0F" w:rsidR="003F5CF0" w:rsidRPr="00507E50" w:rsidRDefault="00022B09">
            <w:pPr>
              <w:rPr>
                <w:b/>
                <w:bCs/>
              </w:rPr>
            </w:pPr>
            <w:r w:rsidRPr="00507E50">
              <w:rPr>
                <w:b/>
                <w:bCs/>
              </w:rPr>
              <w:t>1</w:t>
            </w:r>
          </w:p>
        </w:tc>
        <w:tc>
          <w:tcPr>
            <w:tcW w:w="4330" w:type="dxa"/>
          </w:tcPr>
          <w:p w14:paraId="1A714367" w14:textId="1B4B4692" w:rsidR="003F5CF0" w:rsidRPr="00507E50" w:rsidRDefault="00022B09">
            <w:pPr>
              <w:rPr>
                <w:b/>
                <w:bCs/>
              </w:rPr>
            </w:pPr>
            <w:r w:rsidRPr="00507E50">
              <w:rPr>
                <w:b/>
                <w:bCs/>
              </w:rPr>
              <w:t>Why was the second verification needed?</w:t>
            </w:r>
          </w:p>
        </w:tc>
        <w:tc>
          <w:tcPr>
            <w:tcW w:w="6176" w:type="dxa"/>
          </w:tcPr>
          <w:p w14:paraId="5332C1DC" w14:textId="7A4348BD" w:rsidR="00F24647" w:rsidRDefault="00F24647" w:rsidP="00F24647">
            <w:r>
              <w:t xml:space="preserve">Following the first independent verification and its consideration by </w:t>
            </w:r>
            <w:r w:rsidR="00615A0B">
              <w:t xml:space="preserve">the </w:t>
            </w:r>
            <w:r>
              <w:t xml:space="preserve">FSC Board of Directors, Soil Association Certification Limited (SA Cert) was instructed to carry out a second independent third-party verification of HS Timber Group against section 2 of the FSC </w:t>
            </w:r>
            <w:hyperlink r:id="rId11" w:history="1">
              <w:r>
                <w:rPr>
                  <w:rStyle w:val="Hyperlink"/>
                </w:rPr>
                <w:t>“Conditions Framework”</w:t>
              </w:r>
            </w:hyperlink>
            <w:r>
              <w:t xml:space="preserve">. </w:t>
            </w:r>
          </w:p>
          <w:p w14:paraId="3CF8DCD2" w14:textId="77777777" w:rsidR="00567F7E" w:rsidRDefault="00567F7E" w:rsidP="00F24647"/>
          <w:p w14:paraId="5D4405B1" w14:textId="6C4DFFAD" w:rsidR="00F24647" w:rsidRDefault="00F24647" w:rsidP="00F24647">
            <w:r>
              <w:t>The scope of this second verification was targeted at supply chains in Slovakia, Poland and Belarus. The second verification was considered necessary due to concerns raised by stakeholders during the first verification about HS</w:t>
            </w:r>
            <w:r w:rsidR="008C7DAE">
              <w:t>’</w:t>
            </w:r>
            <w:r>
              <w:t xml:space="preserve"> purchasing activity within Poland, Belarus and Slovakia, and risks known to be present in these countries. FSC carried out its own internal assessment of risk from these countries before instructing a remote assessment for Poland and Belarus, and an onsite assessment for Slovakia.</w:t>
            </w:r>
          </w:p>
          <w:p w14:paraId="06338D74" w14:textId="77777777" w:rsidR="003F5CF0" w:rsidRDefault="003F5CF0"/>
        </w:tc>
      </w:tr>
      <w:tr w:rsidR="003F5CF0" w14:paraId="3AE2A8E3" w14:textId="77777777" w:rsidTr="009550B7">
        <w:tc>
          <w:tcPr>
            <w:tcW w:w="551" w:type="dxa"/>
          </w:tcPr>
          <w:p w14:paraId="0DE24824" w14:textId="4C98FED9" w:rsidR="003F5CF0" w:rsidRPr="00507E50" w:rsidRDefault="00022B09">
            <w:pPr>
              <w:rPr>
                <w:b/>
                <w:bCs/>
              </w:rPr>
            </w:pPr>
            <w:r w:rsidRPr="00507E50">
              <w:rPr>
                <w:b/>
                <w:bCs/>
              </w:rPr>
              <w:t>2</w:t>
            </w:r>
          </w:p>
        </w:tc>
        <w:tc>
          <w:tcPr>
            <w:tcW w:w="4330" w:type="dxa"/>
          </w:tcPr>
          <w:p w14:paraId="00C33B7F" w14:textId="50D2A259" w:rsidR="00022B09" w:rsidRPr="00507E50" w:rsidRDefault="00022B09" w:rsidP="00022B09">
            <w:pPr>
              <w:rPr>
                <w:rFonts w:eastAsia="Times New Roman"/>
                <w:b/>
                <w:bCs/>
                <w:lang w:val="en-US"/>
              </w:rPr>
            </w:pPr>
            <w:r w:rsidRPr="00507E50">
              <w:rPr>
                <w:rFonts w:eastAsia="Times New Roman"/>
                <w:b/>
                <w:bCs/>
                <w:lang w:val="en-US"/>
              </w:rPr>
              <w:t>What was the methodology followed by SA Cert in the second independent verification?</w:t>
            </w:r>
          </w:p>
          <w:p w14:paraId="3CF649FF" w14:textId="77777777" w:rsidR="003F5CF0" w:rsidRPr="00507E50" w:rsidRDefault="003F5CF0">
            <w:pPr>
              <w:rPr>
                <w:b/>
                <w:bCs/>
              </w:rPr>
            </w:pPr>
          </w:p>
        </w:tc>
        <w:tc>
          <w:tcPr>
            <w:tcW w:w="6176" w:type="dxa"/>
          </w:tcPr>
          <w:p w14:paraId="18F6ABCE" w14:textId="323C4134" w:rsidR="006A7C7F" w:rsidRDefault="006A7C7F" w:rsidP="006A7C7F">
            <w:r>
              <w:t>SA Cert developed an auditing methodology within the scope provided by FSC, and the Conditions Framework, which was approved by FSC prior to implementation. The methodology used a combination of a UK-based auditor carrying out remote documentation review for Polish and Belarus supply chains including video interviewing, and another audit team in Slovakia carrying out on-site auditing by sampling of HS’ Slovak suppliers, and related forest harvesting sites.</w:t>
            </w:r>
          </w:p>
          <w:p w14:paraId="4C9E245B" w14:textId="69E5A74D" w:rsidR="00567F7E" w:rsidRDefault="00567F7E" w:rsidP="006A7C7F"/>
          <w:p w14:paraId="2A50128F" w14:textId="780154A8" w:rsidR="00567F7E" w:rsidRDefault="00567F7E" w:rsidP="006A7C7F">
            <w:r>
              <w:t>The on-site audit in Slov</w:t>
            </w:r>
            <w:r w:rsidR="004C3ADB">
              <w:t>a</w:t>
            </w:r>
            <w:r>
              <w:t>kia involved sampling and interviewing the first tier supplier, and a range of second and third tier suppliers. The audit included visits to suppliers, logyards, and forests from where material had been procured in 2021.</w:t>
            </w:r>
          </w:p>
          <w:p w14:paraId="6619A834" w14:textId="0156BC2B" w:rsidR="003913CB" w:rsidRDefault="003913CB" w:rsidP="006A7C7F"/>
          <w:p w14:paraId="31589D3F" w14:textId="77777777" w:rsidR="00286A0C" w:rsidRDefault="003913CB" w:rsidP="003913CB">
            <w:pPr>
              <w:rPr>
                <w:lang w:val="en-US"/>
              </w:rPr>
            </w:pPr>
            <w:r w:rsidRPr="003913CB">
              <w:rPr>
                <w:lang w:val="en-US"/>
              </w:rPr>
              <w:t xml:space="preserve">The onsite audit in Slovakia was based upon an analysis of the HS supply chain first and second/third tier suppliers and geographical origin of the supplies. A risk-based approach was used to determine which suppliers to audit. </w:t>
            </w:r>
          </w:p>
          <w:p w14:paraId="0AAF06CE" w14:textId="77777777" w:rsidR="00286A0C" w:rsidRDefault="00286A0C" w:rsidP="003913CB"/>
          <w:p w14:paraId="5E259347" w14:textId="6829840E" w:rsidR="003913CB" w:rsidRPr="003913CB" w:rsidRDefault="003913CB" w:rsidP="003913CB">
            <w:pPr>
              <w:rPr>
                <w:lang w:val="en-US"/>
              </w:rPr>
            </w:pPr>
            <w:r w:rsidRPr="003913CB">
              <w:t>HS Group sources in Slovakia from 1 first tier supplier, which in turn has 11 second tier suppliers - 6 of which have 41 third tier suppliers. Many of the second and third tier suppliers hold FSC F</w:t>
            </w:r>
            <w:r w:rsidR="00DD2FA3">
              <w:t xml:space="preserve">orest </w:t>
            </w:r>
            <w:r w:rsidRPr="003913CB">
              <w:t>M</w:t>
            </w:r>
            <w:r w:rsidR="00DD2FA3">
              <w:t>anagement (FM)</w:t>
            </w:r>
            <w:r w:rsidRPr="003913CB">
              <w:t xml:space="preserve"> and/or </w:t>
            </w:r>
            <w:r w:rsidR="00DD2FA3">
              <w:t>FSC Chain of Custody (</w:t>
            </w:r>
            <w:r w:rsidRPr="003913CB">
              <w:t>COC</w:t>
            </w:r>
            <w:r w:rsidR="00DD2FA3">
              <w:t>)</w:t>
            </w:r>
            <w:r w:rsidRPr="003913CB">
              <w:t xml:space="preserve"> and/or PEFC </w:t>
            </w:r>
            <w:r w:rsidR="00DD2FA3">
              <w:t xml:space="preserve">COC </w:t>
            </w:r>
            <w:r w:rsidRPr="003913CB">
              <w:t>certification. Nearly 80% of all 2021 delivered volume came from one second tier supplier who holds both FSC and PEFC COC</w:t>
            </w:r>
            <w:r w:rsidR="00367F4A">
              <w:t xml:space="preserve"> certificates</w:t>
            </w:r>
            <w:r w:rsidRPr="003913CB">
              <w:t xml:space="preserve">, </w:t>
            </w:r>
            <w:r w:rsidR="00367F4A">
              <w:t xml:space="preserve">the remaining </w:t>
            </w:r>
            <w:r w:rsidRPr="003913CB">
              <w:t>13% from uncertified suppliers.</w:t>
            </w:r>
            <w:r w:rsidRPr="003913CB">
              <w:rPr>
                <w:lang w:val="en-US"/>
              </w:rPr>
              <w:t xml:space="preserve"> The first tier supplier in Slovakia and 9 second/third tier suppliers were audited over 4 days in August 2021. The audit included visits to forests, logyards and interviews with a range of Managers and Forest Managers involved in the supply chains.</w:t>
            </w:r>
          </w:p>
          <w:p w14:paraId="373819B4" w14:textId="7E3EE3F5" w:rsidR="004C3ADB" w:rsidRDefault="004C3ADB" w:rsidP="006A7C7F"/>
          <w:p w14:paraId="2C7B2C47" w14:textId="77777777" w:rsidR="00F263D4" w:rsidRDefault="004C3ADB" w:rsidP="006A7C7F">
            <w:r>
              <w:t xml:space="preserve">The remote auditor was given access to the full procurement data sets for Poland and Belarus for 2021. </w:t>
            </w:r>
          </w:p>
          <w:p w14:paraId="1E3C5B3C" w14:textId="77777777" w:rsidR="00F263D4" w:rsidRDefault="00F263D4" w:rsidP="006A7C7F"/>
          <w:p w14:paraId="4DBC187A" w14:textId="191690D7" w:rsidR="004C3ADB" w:rsidRDefault="00F263D4" w:rsidP="006A7C7F">
            <w:r>
              <w:lastRenderedPageBreak/>
              <w:t>For both on-site and remote,</w:t>
            </w:r>
            <w:r w:rsidR="004C3ADB">
              <w:t xml:space="preserve"> sample</w:t>
            </w:r>
            <w:r>
              <w:t>s</w:t>
            </w:r>
            <w:r w:rsidR="004C3ADB">
              <w:t xml:space="preserve"> of purchases, including contractual and delivery documentation was audited </w:t>
            </w:r>
            <w:r w:rsidR="00E453DC">
              <w:t>to check origin, certification status, due diligence application and compliance with HS internal policies and procedures.</w:t>
            </w:r>
          </w:p>
          <w:p w14:paraId="11BF555C" w14:textId="743A684F" w:rsidR="00417782" w:rsidRDefault="00417782" w:rsidP="006A7C7F"/>
          <w:p w14:paraId="1BD09357" w14:textId="77777777" w:rsidR="00417782" w:rsidRPr="003913CB" w:rsidRDefault="00417782" w:rsidP="00417782">
            <w:pPr>
              <w:rPr>
                <w:lang w:val="en-US"/>
              </w:rPr>
            </w:pPr>
            <w:r w:rsidRPr="003913CB">
              <w:rPr>
                <w:lang w:val="en-US"/>
              </w:rPr>
              <w:t xml:space="preserve">Full details of the methodology are described in the public summary of the independent verification report which can be accessed </w:t>
            </w:r>
            <w:hyperlink r:id="rId12" w:history="1">
              <w:r w:rsidRPr="003913CB">
                <w:rPr>
                  <w:rStyle w:val="Hyperlink"/>
                  <w:lang w:val="en-US"/>
                </w:rPr>
                <w:t>here</w:t>
              </w:r>
            </w:hyperlink>
            <w:r w:rsidRPr="003913CB">
              <w:rPr>
                <w:lang w:val="en-US"/>
              </w:rPr>
              <w:t>.</w:t>
            </w:r>
          </w:p>
          <w:p w14:paraId="4F819FF7" w14:textId="77777777" w:rsidR="003F5CF0" w:rsidRDefault="003F5CF0"/>
        </w:tc>
      </w:tr>
      <w:tr w:rsidR="003F5CF0" w14:paraId="4CF185DA" w14:textId="77777777" w:rsidTr="009550B7">
        <w:tc>
          <w:tcPr>
            <w:tcW w:w="551" w:type="dxa"/>
          </w:tcPr>
          <w:p w14:paraId="2475E45C" w14:textId="2475BBE7" w:rsidR="003F5CF0" w:rsidRPr="00507E50" w:rsidRDefault="00022B09">
            <w:pPr>
              <w:rPr>
                <w:b/>
                <w:bCs/>
              </w:rPr>
            </w:pPr>
            <w:r w:rsidRPr="00507E50">
              <w:rPr>
                <w:b/>
                <w:bCs/>
              </w:rPr>
              <w:lastRenderedPageBreak/>
              <w:t>3</w:t>
            </w:r>
          </w:p>
        </w:tc>
        <w:tc>
          <w:tcPr>
            <w:tcW w:w="4330" w:type="dxa"/>
          </w:tcPr>
          <w:p w14:paraId="59C6535E" w14:textId="5EF4DCC5" w:rsidR="003F5CF0" w:rsidRPr="00507E50" w:rsidRDefault="00022B09">
            <w:pPr>
              <w:rPr>
                <w:b/>
                <w:bCs/>
              </w:rPr>
            </w:pPr>
            <w:r w:rsidRPr="00507E50">
              <w:rPr>
                <w:b/>
                <w:bCs/>
              </w:rPr>
              <w:t>What expertise did SA Cert have in the second verification</w:t>
            </w:r>
            <w:r w:rsidR="00EB6F12" w:rsidRPr="00507E50">
              <w:rPr>
                <w:b/>
                <w:bCs/>
              </w:rPr>
              <w:t>?</w:t>
            </w:r>
          </w:p>
        </w:tc>
        <w:tc>
          <w:tcPr>
            <w:tcW w:w="6176" w:type="dxa"/>
          </w:tcPr>
          <w:p w14:paraId="1A18C36A" w14:textId="77777777" w:rsidR="003F5CF0" w:rsidRDefault="006A7C7F">
            <w:r>
              <w:t xml:space="preserve">SA Cert used one of the same experienced Forest Management and Chain of Custody Auditors </w:t>
            </w:r>
            <w:r w:rsidR="004F3B55">
              <w:t xml:space="preserve">from the initial verification, </w:t>
            </w:r>
            <w:r>
              <w:t>for the Slovakian on-site audit, together with an independent translator.</w:t>
            </w:r>
            <w:r w:rsidR="004F3B55">
              <w:t xml:space="preserve"> </w:t>
            </w:r>
          </w:p>
          <w:p w14:paraId="77A8C3CB" w14:textId="77777777" w:rsidR="004F3B55" w:rsidRDefault="004F3B55"/>
          <w:p w14:paraId="287934F6" w14:textId="460F43B3" w:rsidR="004F3B55" w:rsidRDefault="004F3B55">
            <w:r>
              <w:t xml:space="preserve">The remote auditing was done by a UK-based experienced Forest Management and Chain of Custody Auditor who also had taken part in the initial verification. </w:t>
            </w:r>
          </w:p>
        </w:tc>
      </w:tr>
      <w:tr w:rsidR="00286A0C" w14:paraId="05D0E4C9" w14:textId="77777777" w:rsidTr="009550B7">
        <w:tc>
          <w:tcPr>
            <w:tcW w:w="551" w:type="dxa"/>
          </w:tcPr>
          <w:p w14:paraId="73174B64" w14:textId="39E5AAD8" w:rsidR="00286A0C" w:rsidRPr="00507E50" w:rsidRDefault="00286A0C">
            <w:pPr>
              <w:rPr>
                <w:b/>
                <w:bCs/>
              </w:rPr>
            </w:pPr>
            <w:r w:rsidRPr="00507E50">
              <w:rPr>
                <w:b/>
                <w:bCs/>
              </w:rPr>
              <w:t>4</w:t>
            </w:r>
          </w:p>
        </w:tc>
        <w:tc>
          <w:tcPr>
            <w:tcW w:w="4330" w:type="dxa"/>
          </w:tcPr>
          <w:p w14:paraId="64299270" w14:textId="390FB3E5" w:rsidR="00286A0C" w:rsidRPr="00507E50" w:rsidRDefault="00286A0C" w:rsidP="00286A0C">
            <w:pPr>
              <w:rPr>
                <w:b/>
                <w:bCs/>
                <w:lang w:val="en-US"/>
              </w:rPr>
            </w:pPr>
            <w:r w:rsidRPr="00507E50">
              <w:rPr>
                <w:b/>
                <w:bCs/>
                <w:lang w:val="en-US"/>
              </w:rPr>
              <w:t>What is the degree of complexity of HS</w:t>
            </w:r>
            <w:r w:rsidR="000A43D7">
              <w:rPr>
                <w:b/>
                <w:bCs/>
                <w:lang w:val="en-US"/>
              </w:rPr>
              <w:t>’</w:t>
            </w:r>
            <w:r w:rsidRPr="00507E50">
              <w:rPr>
                <w:b/>
                <w:bCs/>
                <w:lang w:val="en-US"/>
              </w:rPr>
              <w:t xml:space="preserve"> supply chain in Slovakia?</w:t>
            </w:r>
          </w:p>
          <w:p w14:paraId="5FB42008" w14:textId="77777777" w:rsidR="00286A0C" w:rsidRPr="00507E50" w:rsidRDefault="00286A0C">
            <w:pPr>
              <w:rPr>
                <w:b/>
                <w:bCs/>
              </w:rPr>
            </w:pPr>
          </w:p>
        </w:tc>
        <w:tc>
          <w:tcPr>
            <w:tcW w:w="6176" w:type="dxa"/>
          </w:tcPr>
          <w:p w14:paraId="113396E9" w14:textId="4AA9EE4C" w:rsidR="00286A0C" w:rsidRPr="00FF2F9A" w:rsidRDefault="00286A0C" w:rsidP="00286A0C">
            <w:pPr>
              <w:rPr>
                <w:lang w:val="en-US"/>
              </w:rPr>
            </w:pPr>
            <w:r w:rsidRPr="00FF2F9A">
              <w:rPr>
                <w:lang w:val="en-US"/>
              </w:rPr>
              <w:t xml:space="preserve">HS Group sources in Slovakia from 1 first-tier supplier, which in turn has 11 second tier suppliers. Many of the second and third tier suppliers hold FSC Forest Management and/or FSC Chain of Custody and/or PEFC Chain of Custody certification. Nearly 80% of all 2021 delivered volume came from one second tier supplier which holds both FSC (including FSC Controlled Wood) and PEFC COC certification. </w:t>
            </w:r>
          </w:p>
          <w:p w14:paraId="7BBDBBD3" w14:textId="77777777" w:rsidR="00286A0C" w:rsidRPr="00FF2F9A" w:rsidRDefault="00286A0C" w:rsidP="00286A0C">
            <w:pPr>
              <w:rPr>
                <w:lang w:val="en-US"/>
              </w:rPr>
            </w:pPr>
          </w:p>
          <w:p w14:paraId="0F1ED6C8" w14:textId="1E2949E8" w:rsidR="00286A0C" w:rsidRPr="00FF2F9A" w:rsidRDefault="00286A0C" w:rsidP="00286A0C">
            <w:pPr>
              <w:rPr>
                <w:lang w:val="en-US"/>
              </w:rPr>
            </w:pPr>
            <w:r w:rsidRPr="00FF2F9A">
              <w:rPr>
                <w:lang w:val="en-US"/>
              </w:rPr>
              <w:t>Forest management plan maps are publicly available at sub-compartment level where status of the sub-compartment (e.g., ownership, age, location) is available</w:t>
            </w:r>
            <w:r w:rsidR="000A43D7">
              <w:rPr>
                <w:lang w:val="en-US"/>
              </w:rPr>
              <w:t xml:space="preserve"> (See </w:t>
            </w:r>
            <w:hyperlink r:id="rId13" w:history="1">
              <w:r w:rsidR="000A43D7" w:rsidRPr="000A43D7">
                <w:rPr>
                  <w:rStyle w:val="Hyperlink"/>
                  <w:lang w:val="en-US"/>
                </w:rPr>
                <w:t>here</w:t>
              </w:r>
            </w:hyperlink>
            <w:r w:rsidR="000A43D7">
              <w:rPr>
                <w:lang w:val="en-US"/>
              </w:rPr>
              <w:t>)</w:t>
            </w:r>
            <w:r w:rsidRPr="00FF2F9A">
              <w:rPr>
                <w:lang w:val="en-US"/>
              </w:rPr>
              <w:t>.</w:t>
            </w:r>
          </w:p>
          <w:p w14:paraId="3E4466E7" w14:textId="77777777" w:rsidR="00286A0C" w:rsidRPr="00FF2F9A" w:rsidRDefault="00286A0C" w:rsidP="00286A0C">
            <w:pPr>
              <w:rPr>
                <w:lang w:val="en-US"/>
              </w:rPr>
            </w:pPr>
          </w:p>
          <w:p w14:paraId="2D2265F1" w14:textId="4B092FDE" w:rsidR="00286A0C" w:rsidRPr="00FF2F9A" w:rsidRDefault="00286A0C" w:rsidP="00286A0C">
            <w:pPr>
              <w:rPr>
                <w:lang w:val="en-US"/>
              </w:rPr>
            </w:pPr>
            <w:r w:rsidRPr="00FF2F9A">
              <w:rPr>
                <w:lang w:val="en-US"/>
              </w:rPr>
              <w:t xml:space="preserve">Due to a change in the National legal framework, all sanitary harvesting activities have to be approved by Slovakian national </w:t>
            </w:r>
            <w:r w:rsidR="00F727B2" w:rsidRPr="00FF2F9A">
              <w:rPr>
                <w:lang w:val="en-US"/>
              </w:rPr>
              <w:t>N</w:t>
            </w:r>
            <w:r w:rsidRPr="00FF2F9A">
              <w:rPr>
                <w:lang w:val="en-US"/>
              </w:rPr>
              <w:t xml:space="preserve">ature </w:t>
            </w:r>
            <w:r w:rsidR="00F727B2" w:rsidRPr="00FF2F9A">
              <w:rPr>
                <w:lang w:val="en-US"/>
              </w:rPr>
              <w:t>P</w:t>
            </w:r>
            <w:r w:rsidRPr="00FF2F9A">
              <w:rPr>
                <w:lang w:val="en-US"/>
              </w:rPr>
              <w:t xml:space="preserve">rotection </w:t>
            </w:r>
            <w:r w:rsidR="00F727B2" w:rsidRPr="00FF2F9A">
              <w:rPr>
                <w:lang w:val="en-US"/>
              </w:rPr>
              <w:t>A</w:t>
            </w:r>
            <w:r w:rsidRPr="00FF2F9A">
              <w:rPr>
                <w:lang w:val="en-US"/>
              </w:rPr>
              <w:t>gency.</w:t>
            </w:r>
            <w:r w:rsidR="00CA4148" w:rsidRPr="00FF2F9A">
              <w:rPr>
                <w:lang w:val="en-US"/>
              </w:rPr>
              <w:t xml:space="preserve"> HS was seen in the on-site audit to be following the required legislation.</w:t>
            </w:r>
          </w:p>
          <w:p w14:paraId="1C3DB18B" w14:textId="77777777" w:rsidR="00286A0C" w:rsidRPr="00FF2F9A" w:rsidRDefault="00286A0C"/>
        </w:tc>
      </w:tr>
      <w:tr w:rsidR="00286A0C" w14:paraId="34BC90F5" w14:textId="77777777" w:rsidTr="009550B7">
        <w:tc>
          <w:tcPr>
            <w:tcW w:w="551" w:type="dxa"/>
          </w:tcPr>
          <w:p w14:paraId="7FF57D59" w14:textId="4111CC9D" w:rsidR="00286A0C" w:rsidRPr="00507E50" w:rsidRDefault="00286A0C">
            <w:pPr>
              <w:rPr>
                <w:b/>
                <w:bCs/>
              </w:rPr>
            </w:pPr>
            <w:r w:rsidRPr="00507E50">
              <w:rPr>
                <w:b/>
                <w:bCs/>
              </w:rPr>
              <w:t>5</w:t>
            </w:r>
          </w:p>
        </w:tc>
        <w:tc>
          <w:tcPr>
            <w:tcW w:w="4330" w:type="dxa"/>
          </w:tcPr>
          <w:p w14:paraId="07D6BDD1" w14:textId="654AA606" w:rsidR="00286A0C" w:rsidRPr="00507E50" w:rsidRDefault="00286A0C">
            <w:pPr>
              <w:rPr>
                <w:b/>
                <w:bCs/>
              </w:rPr>
            </w:pPr>
            <w:r w:rsidRPr="00507E50">
              <w:rPr>
                <w:b/>
                <w:bCs/>
                <w:lang w:val="en-US"/>
              </w:rPr>
              <w:t>What is the situation with National Parks in Slovakia?</w:t>
            </w:r>
          </w:p>
        </w:tc>
        <w:tc>
          <w:tcPr>
            <w:tcW w:w="6176" w:type="dxa"/>
          </w:tcPr>
          <w:p w14:paraId="7530AE64" w14:textId="6C2A590F" w:rsidR="00286A0C" w:rsidRPr="00FF2F9A" w:rsidRDefault="00286A0C" w:rsidP="00CA4148">
            <w:pPr>
              <w:rPr>
                <w:lang w:val="en-US"/>
              </w:rPr>
            </w:pPr>
            <w:r w:rsidRPr="00FF2F9A">
              <w:rPr>
                <w:lang w:val="en-US"/>
              </w:rPr>
              <w:t>Management plans of the National Parks in Slovakia are publicly available.</w:t>
            </w:r>
            <w:r w:rsidR="00CA4148" w:rsidRPr="00FF2F9A">
              <w:rPr>
                <w:lang w:val="en-US"/>
              </w:rPr>
              <w:t xml:space="preserve"> All </w:t>
            </w:r>
            <w:r w:rsidR="005B4AD3">
              <w:rPr>
                <w:lang w:val="en-US"/>
              </w:rPr>
              <w:t xml:space="preserve">HS </w:t>
            </w:r>
            <w:r w:rsidR="00CA4148" w:rsidRPr="00FF2F9A">
              <w:rPr>
                <w:lang w:val="en-US"/>
              </w:rPr>
              <w:t>documentation concerning harvested timber transport originating from National Park</w:t>
            </w:r>
            <w:r w:rsidR="005B4AD3">
              <w:rPr>
                <w:lang w:val="en-US"/>
              </w:rPr>
              <w:t>s in Slovakia</w:t>
            </w:r>
            <w:r w:rsidR="00CA4148" w:rsidRPr="00FF2F9A">
              <w:rPr>
                <w:lang w:val="en-US"/>
              </w:rPr>
              <w:t xml:space="preserve"> is publicly available </w:t>
            </w:r>
            <w:r w:rsidR="005B4AD3">
              <w:rPr>
                <w:lang w:val="en-US"/>
              </w:rPr>
              <w:t xml:space="preserve">at the </w:t>
            </w:r>
            <w:r w:rsidR="00CA4148" w:rsidRPr="00FF2F9A">
              <w:rPr>
                <w:lang w:val="en-US"/>
              </w:rPr>
              <w:t xml:space="preserve">Tanapu State Forests </w:t>
            </w:r>
            <w:r w:rsidR="005B4AD3">
              <w:rPr>
                <w:lang w:val="en-US"/>
              </w:rPr>
              <w:t xml:space="preserve">website </w:t>
            </w:r>
            <w:hyperlink r:id="rId14" w:history="1">
              <w:r w:rsidR="005B4AD3" w:rsidRPr="005B4AD3">
                <w:rPr>
                  <w:rStyle w:val="Hyperlink"/>
                  <w:lang w:val="en-US"/>
                </w:rPr>
                <w:t>here</w:t>
              </w:r>
            </w:hyperlink>
            <w:r w:rsidR="005B4AD3">
              <w:rPr>
                <w:lang w:val="en-US"/>
              </w:rPr>
              <w:t xml:space="preserve">. </w:t>
            </w:r>
            <w:r w:rsidR="00CA4148" w:rsidRPr="00FF2F9A">
              <w:rPr>
                <w:lang w:val="en-US"/>
              </w:rPr>
              <w:t xml:space="preserve">  </w:t>
            </w:r>
          </w:p>
          <w:p w14:paraId="515F3BA4" w14:textId="77777777" w:rsidR="00CA4148" w:rsidRPr="00FF2F9A" w:rsidRDefault="00CA4148" w:rsidP="00286A0C">
            <w:pPr>
              <w:rPr>
                <w:lang w:val="en-US"/>
              </w:rPr>
            </w:pPr>
          </w:p>
          <w:p w14:paraId="7A968661" w14:textId="512B413C" w:rsidR="00286A0C" w:rsidRDefault="00CA4148" w:rsidP="00286A0C">
            <w:pPr>
              <w:rPr>
                <w:lang w:val="en-US"/>
              </w:rPr>
            </w:pPr>
            <w:r w:rsidRPr="00FF2F9A">
              <w:rPr>
                <w:lang w:val="en-US"/>
              </w:rPr>
              <w:t xml:space="preserve">HS </w:t>
            </w:r>
            <w:r w:rsidR="005B4AD3">
              <w:rPr>
                <w:lang w:val="en-US"/>
              </w:rPr>
              <w:t xml:space="preserve">Timber Sourcing </w:t>
            </w:r>
            <w:r w:rsidRPr="00FF2F9A">
              <w:rPr>
                <w:lang w:val="en-US"/>
              </w:rPr>
              <w:t>Policy in Slovakia is not to exclude timber from National Parks, with the exception of the Vihorlat area, were seen to be following relevant legislation and regulations</w:t>
            </w:r>
            <w:r w:rsidR="005B4AD3">
              <w:rPr>
                <w:lang w:val="en-US"/>
              </w:rPr>
              <w:t>.</w:t>
            </w:r>
          </w:p>
          <w:p w14:paraId="45E2B72F" w14:textId="77777777" w:rsidR="005B4AD3" w:rsidRPr="00FF2F9A" w:rsidRDefault="005B4AD3" w:rsidP="00286A0C">
            <w:pPr>
              <w:rPr>
                <w:lang w:val="en-US"/>
              </w:rPr>
            </w:pPr>
          </w:p>
          <w:p w14:paraId="679F1B3A" w14:textId="4C8F0416" w:rsidR="00286A0C" w:rsidRPr="00FF2F9A" w:rsidRDefault="00286A0C" w:rsidP="00286A0C">
            <w:pPr>
              <w:rPr>
                <w:lang w:val="en-US"/>
              </w:rPr>
            </w:pPr>
            <w:r w:rsidRPr="00FF2F9A">
              <w:rPr>
                <w:lang w:val="en-US"/>
              </w:rPr>
              <w:t xml:space="preserve">During the on-site verification, the most </w:t>
            </w:r>
            <w:r w:rsidR="00AC02D5">
              <w:rPr>
                <w:lang w:val="en-US"/>
              </w:rPr>
              <w:t xml:space="preserve">relevant </w:t>
            </w:r>
            <w:r w:rsidRPr="00FF2F9A">
              <w:rPr>
                <w:lang w:val="en-US"/>
              </w:rPr>
              <w:t xml:space="preserve">National Park in Slovakia was visited (office and field visits were covered). The main concern </w:t>
            </w:r>
            <w:r w:rsidR="00AC02D5">
              <w:rPr>
                <w:lang w:val="en-US"/>
              </w:rPr>
              <w:t xml:space="preserve">related to the management of this </w:t>
            </w:r>
            <w:r w:rsidRPr="00FF2F9A">
              <w:rPr>
                <w:lang w:val="en-US"/>
              </w:rPr>
              <w:t xml:space="preserve">National Park </w:t>
            </w:r>
            <w:r w:rsidR="00AC02D5">
              <w:rPr>
                <w:lang w:val="en-US"/>
              </w:rPr>
              <w:t xml:space="preserve">relates to issues concerning </w:t>
            </w:r>
            <w:r w:rsidRPr="00FF2F9A">
              <w:rPr>
                <w:lang w:val="en-US"/>
              </w:rPr>
              <w:t>bark beetle.</w:t>
            </w:r>
          </w:p>
          <w:p w14:paraId="543C9F6A" w14:textId="77777777" w:rsidR="00286A0C" w:rsidRDefault="00286A0C" w:rsidP="00CA4148"/>
        </w:tc>
      </w:tr>
      <w:tr w:rsidR="003F5CF0" w14:paraId="3F1693CE" w14:textId="77777777" w:rsidTr="009550B7">
        <w:tc>
          <w:tcPr>
            <w:tcW w:w="551" w:type="dxa"/>
          </w:tcPr>
          <w:p w14:paraId="68A8D6C8" w14:textId="3D629967" w:rsidR="003F5CF0" w:rsidRPr="00507E50" w:rsidRDefault="00286A0C">
            <w:pPr>
              <w:rPr>
                <w:b/>
                <w:bCs/>
              </w:rPr>
            </w:pPr>
            <w:r w:rsidRPr="00507E50">
              <w:rPr>
                <w:b/>
                <w:bCs/>
              </w:rPr>
              <w:t>6</w:t>
            </w:r>
          </w:p>
        </w:tc>
        <w:tc>
          <w:tcPr>
            <w:tcW w:w="4330" w:type="dxa"/>
          </w:tcPr>
          <w:p w14:paraId="3044A7A6" w14:textId="4965CB4C" w:rsidR="003F5CF0" w:rsidRPr="00507E50" w:rsidRDefault="00F3596E">
            <w:pPr>
              <w:rPr>
                <w:b/>
                <w:bCs/>
              </w:rPr>
            </w:pPr>
            <w:r w:rsidRPr="00507E50">
              <w:rPr>
                <w:b/>
                <w:bCs/>
              </w:rPr>
              <w:t>What were the key positive outcomes from the second verification?</w:t>
            </w:r>
          </w:p>
        </w:tc>
        <w:tc>
          <w:tcPr>
            <w:tcW w:w="6176" w:type="dxa"/>
          </w:tcPr>
          <w:p w14:paraId="116FEB52" w14:textId="6C4C4E90" w:rsidR="003D42DB" w:rsidRDefault="00457675">
            <w:r>
              <w:t xml:space="preserve">The </w:t>
            </w:r>
            <w:r w:rsidR="00974D75">
              <w:t xml:space="preserve">on-site Slovak </w:t>
            </w:r>
            <w:r w:rsidR="007A3C0B">
              <w:t xml:space="preserve">audit, and the </w:t>
            </w:r>
            <w:r>
              <w:t xml:space="preserve">remote audit of the Polish and Belarus supply chains </w:t>
            </w:r>
            <w:r w:rsidR="00CC151E">
              <w:t xml:space="preserve">demonstrated that HS have comprehensive risk management and due diligence systems </w:t>
            </w:r>
            <w:r w:rsidR="00913C00">
              <w:t xml:space="preserve">which minimise </w:t>
            </w:r>
            <w:r w:rsidR="00286A0C">
              <w:t xml:space="preserve">the </w:t>
            </w:r>
            <w:r w:rsidR="00913C00">
              <w:t>risk</w:t>
            </w:r>
            <w:r w:rsidR="00286A0C">
              <w:t xml:space="preserve"> of sourcing illegal or controversial timber</w:t>
            </w:r>
            <w:r w:rsidR="00913C00">
              <w:t xml:space="preserve">. </w:t>
            </w:r>
          </w:p>
          <w:p w14:paraId="28163E5C" w14:textId="77777777" w:rsidR="00974D75" w:rsidRDefault="00974D75"/>
          <w:p w14:paraId="4A6AF449" w14:textId="654F558D" w:rsidR="003D42DB" w:rsidRDefault="003D42DB" w:rsidP="003D42DB">
            <w:pPr>
              <w:rPr>
                <w:lang w:val="en-US"/>
              </w:rPr>
            </w:pPr>
            <w:r w:rsidRPr="003D42DB">
              <w:rPr>
                <w:lang w:val="en-US"/>
              </w:rPr>
              <w:t>SA Cert found good compliance with the FSC Conditions Framework.</w:t>
            </w:r>
            <w:r w:rsidRPr="003D42DB">
              <w:rPr>
                <w:b/>
                <w:bCs/>
                <w:lang w:val="en-US"/>
              </w:rPr>
              <w:t xml:space="preserve"> </w:t>
            </w:r>
            <w:r w:rsidRPr="003D42DB">
              <w:rPr>
                <w:lang w:val="en-US"/>
              </w:rPr>
              <w:t>No additional non-compliances were identified with the assessed requirements of section 2 of the FSC Conditions Framework during this assessment. HS Timber Group were able to demonstrate good control of purchasing and supply chain management in Poland, Belarus and Slovakia. This is achieved by HS through a combination of:</w:t>
            </w:r>
          </w:p>
          <w:p w14:paraId="2F9200DA" w14:textId="77777777" w:rsidR="00D01DAE" w:rsidRPr="003D42DB" w:rsidRDefault="00D01DAE" w:rsidP="003D42DB">
            <w:pPr>
              <w:rPr>
                <w:lang w:val="en-US"/>
              </w:rPr>
            </w:pPr>
          </w:p>
          <w:p w14:paraId="042A68F8" w14:textId="77777777" w:rsidR="003D42DB" w:rsidRPr="003D42DB" w:rsidRDefault="003D42DB" w:rsidP="003D42DB">
            <w:pPr>
              <w:numPr>
                <w:ilvl w:val="0"/>
                <w:numId w:val="32"/>
              </w:numPr>
            </w:pPr>
            <w:r w:rsidRPr="003D42DB">
              <w:t>implementing its corporate procurement policy, supplier code of conduct, supplier contracts, and audits where applicable;</w:t>
            </w:r>
          </w:p>
          <w:p w14:paraId="6A099A67" w14:textId="77777777" w:rsidR="003D42DB" w:rsidRPr="003D42DB" w:rsidRDefault="003D42DB" w:rsidP="003D42DB">
            <w:pPr>
              <w:numPr>
                <w:ilvl w:val="0"/>
                <w:numId w:val="32"/>
              </w:numPr>
            </w:pPr>
            <w:r w:rsidRPr="003D42DB">
              <w:t>sourcing only certified material where possible;</w:t>
            </w:r>
          </w:p>
          <w:p w14:paraId="0D7556FC" w14:textId="77777777" w:rsidR="003D42DB" w:rsidRPr="003D42DB" w:rsidRDefault="003D42DB" w:rsidP="003D42DB">
            <w:pPr>
              <w:numPr>
                <w:ilvl w:val="0"/>
                <w:numId w:val="32"/>
              </w:numPr>
            </w:pPr>
            <w:r w:rsidRPr="003D42DB">
              <w:t>avoiding areas of concern which have a geographical basis, e.g. Białowieża region in Poland;</w:t>
            </w:r>
          </w:p>
          <w:p w14:paraId="6996B4CC" w14:textId="77777777" w:rsidR="003D42DB" w:rsidRPr="003D42DB" w:rsidRDefault="003D42DB" w:rsidP="003D42DB">
            <w:pPr>
              <w:numPr>
                <w:ilvl w:val="0"/>
                <w:numId w:val="32"/>
              </w:numPr>
            </w:pPr>
            <w:r w:rsidRPr="003D42DB">
              <w:t>assessing and managing  risk using external sources of information, e.g. FSC Controlled Wood Risk Assessments, supplier intelligence, credible third party information, and legal checks;</w:t>
            </w:r>
          </w:p>
          <w:p w14:paraId="55A2D93D" w14:textId="77777777" w:rsidR="003D42DB" w:rsidRPr="003D42DB" w:rsidRDefault="003D42DB" w:rsidP="003D42DB">
            <w:pPr>
              <w:numPr>
                <w:ilvl w:val="0"/>
                <w:numId w:val="32"/>
              </w:numPr>
            </w:pPr>
            <w:r w:rsidRPr="003D42DB">
              <w:t>monitoring biodiversity issues in each country, including Forest Management Certification reports.</w:t>
            </w:r>
          </w:p>
          <w:p w14:paraId="54E061D9" w14:textId="1176B0F9" w:rsidR="003D42DB" w:rsidRDefault="003D42DB"/>
        </w:tc>
      </w:tr>
      <w:tr w:rsidR="003F5CF0" w14:paraId="6DF3445F" w14:textId="77777777" w:rsidTr="009550B7">
        <w:tc>
          <w:tcPr>
            <w:tcW w:w="551" w:type="dxa"/>
          </w:tcPr>
          <w:p w14:paraId="603114BC" w14:textId="452B426E" w:rsidR="003F5CF0" w:rsidRPr="00507E50" w:rsidRDefault="00150B11">
            <w:pPr>
              <w:rPr>
                <w:b/>
                <w:bCs/>
              </w:rPr>
            </w:pPr>
            <w:r w:rsidRPr="00507E50">
              <w:rPr>
                <w:b/>
                <w:bCs/>
              </w:rPr>
              <w:lastRenderedPageBreak/>
              <w:t>7</w:t>
            </w:r>
          </w:p>
        </w:tc>
        <w:tc>
          <w:tcPr>
            <w:tcW w:w="4330" w:type="dxa"/>
          </w:tcPr>
          <w:p w14:paraId="55F55466" w14:textId="2E7508F7" w:rsidR="003F5CF0" w:rsidRPr="00507E50" w:rsidRDefault="00D106D3">
            <w:pPr>
              <w:rPr>
                <w:b/>
                <w:bCs/>
              </w:rPr>
            </w:pPr>
            <w:r w:rsidRPr="00507E50">
              <w:rPr>
                <w:rFonts w:eastAsia="Times New Roman"/>
                <w:b/>
                <w:bCs/>
                <w:lang w:val="en-US"/>
              </w:rPr>
              <w:t>What are the formal findings of the second verification?</w:t>
            </w:r>
          </w:p>
        </w:tc>
        <w:tc>
          <w:tcPr>
            <w:tcW w:w="6176" w:type="dxa"/>
          </w:tcPr>
          <w:p w14:paraId="54BCB1CE" w14:textId="4FABDC0D" w:rsidR="003F5CF0" w:rsidRDefault="00744FCF">
            <w:r>
              <w:t xml:space="preserve">There were </w:t>
            </w:r>
            <w:r w:rsidR="00286A0C">
              <w:t>no formal findings, but</w:t>
            </w:r>
            <w:r w:rsidR="004D6E95">
              <w:t xml:space="preserve"> </w:t>
            </w:r>
            <w:r>
              <w:t xml:space="preserve">two </w:t>
            </w:r>
            <w:r w:rsidR="009E158A">
              <w:t>‘</w:t>
            </w:r>
            <w:r>
              <w:t>observations</w:t>
            </w:r>
            <w:r w:rsidR="009E158A">
              <w:t>’</w:t>
            </w:r>
            <w:r>
              <w:t xml:space="preserve"> </w:t>
            </w:r>
            <w:r w:rsidR="00286A0C">
              <w:t xml:space="preserve">were </w:t>
            </w:r>
            <w:r>
              <w:t xml:space="preserve">raised in the second verification. </w:t>
            </w:r>
            <w:r w:rsidR="00286A0C">
              <w:t xml:space="preserve">Observations are items raised by the auditor which identify opportunities for improvement, or issues to watch, but </w:t>
            </w:r>
            <w:r w:rsidR="007E6DFF">
              <w:t xml:space="preserve">do not constitute </w:t>
            </w:r>
            <w:r w:rsidR="00286A0C">
              <w:t>non-conformances with regard to the</w:t>
            </w:r>
            <w:r w:rsidR="007E6DFF">
              <w:t xml:space="preserve"> Conditions</w:t>
            </w:r>
            <w:r w:rsidR="00286A0C">
              <w:t xml:space="preserve"> Framework</w:t>
            </w:r>
            <w:r w:rsidR="007E6DFF">
              <w:t xml:space="preserve">. </w:t>
            </w:r>
          </w:p>
          <w:p w14:paraId="5FF84F51" w14:textId="77777777" w:rsidR="004D6E95" w:rsidRDefault="004D6E95"/>
          <w:p w14:paraId="29C7953F" w14:textId="77777777" w:rsidR="004D6E95" w:rsidRPr="004D6E95" w:rsidRDefault="004D6E95" w:rsidP="004D6E95">
            <w:pPr>
              <w:numPr>
                <w:ilvl w:val="0"/>
                <w:numId w:val="33"/>
              </w:numPr>
            </w:pPr>
            <w:r w:rsidRPr="004D6E95">
              <w:t>The first Observation related to a small number of keystroke data-entry errors within the full purchase data set for Poland and Belarus. This involved material which had been recorded as uncertified when in fact it was certified, but the material was managed appropriately through the HS Due Diligence System and Chain of Custody systems. SA Cert identified an opportunity for improvement by analysing the full data sets for exception reports.</w:t>
            </w:r>
          </w:p>
          <w:p w14:paraId="0C35FBFB" w14:textId="0A472F38" w:rsidR="00702601" w:rsidRPr="004D6E95" w:rsidRDefault="004D6E95" w:rsidP="00702601">
            <w:pPr>
              <w:numPr>
                <w:ilvl w:val="0"/>
                <w:numId w:val="33"/>
              </w:numPr>
            </w:pPr>
            <w:r w:rsidRPr="004D6E95">
              <w:t>The second Observation related to a single incidence in Slovakia where documentation from the forest of origin did not include information to identify it at the compartment/stand level.</w:t>
            </w:r>
          </w:p>
          <w:p w14:paraId="3FB3C0AB" w14:textId="65FE1855" w:rsidR="004D6E95" w:rsidRDefault="004D6E95"/>
        </w:tc>
      </w:tr>
      <w:tr w:rsidR="003F5CF0" w14:paraId="1193F4B8" w14:textId="77777777" w:rsidTr="009550B7">
        <w:tc>
          <w:tcPr>
            <w:tcW w:w="551" w:type="dxa"/>
          </w:tcPr>
          <w:p w14:paraId="2892F211" w14:textId="27A03F64" w:rsidR="003F5CF0" w:rsidRPr="00507E50" w:rsidRDefault="00150B11">
            <w:pPr>
              <w:rPr>
                <w:b/>
                <w:bCs/>
              </w:rPr>
            </w:pPr>
            <w:r w:rsidRPr="00507E50">
              <w:rPr>
                <w:b/>
                <w:bCs/>
              </w:rPr>
              <w:t>8</w:t>
            </w:r>
          </w:p>
        </w:tc>
        <w:tc>
          <w:tcPr>
            <w:tcW w:w="4330" w:type="dxa"/>
          </w:tcPr>
          <w:p w14:paraId="285D2BE7" w14:textId="22DF404C" w:rsidR="003F5CF0" w:rsidRPr="00507E50" w:rsidRDefault="00DF12B5">
            <w:pPr>
              <w:rPr>
                <w:b/>
                <w:bCs/>
              </w:rPr>
            </w:pPr>
            <w:r w:rsidRPr="00507E50">
              <w:rPr>
                <w:b/>
                <w:bCs/>
              </w:rPr>
              <w:t>How were the findings from the previous verification addressed?</w:t>
            </w:r>
          </w:p>
        </w:tc>
        <w:tc>
          <w:tcPr>
            <w:tcW w:w="6176" w:type="dxa"/>
          </w:tcPr>
          <w:p w14:paraId="3B691662" w14:textId="60A651D6" w:rsidR="006849AF" w:rsidRPr="006849AF" w:rsidRDefault="006849AF" w:rsidP="006849AF">
            <w:r w:rsidRPr="006849AF">
              <w:t xml:space="preserve">The </w:t>
            </w:r>
            <w:r>
              <w:t xml:space="preserve">4 </w:t>
            </w:r>
            <w:r w:rsidRPr="006849AF">
              <w:t>Minor Corrective Actions</w:t>
            </w:r>
            <w:r>
              <w:t xml:space="preserve"> raised in the first verification</w:t>
            </w:r>
            <w:r w:rsidRPr="006849AF">
              <w:t xml:space="preserve"> related to:</w:t>
            </w:r>
          </w:p>
          <w:p w14:paraId="498C760F" w14:textId="77777777" w:rsidR="006849AF" w:rsidRPr="006849AF" w:rsidRDefault="006849AF" w:rsidP="006849AF">
            <w:pPr>
              <w:numPr>
                <w:ilvl w:val="0"/>
                <w:numId w:val="2"/>
              </w:numPr>
            </w:pPr>
            <w:r w:rsidRPr="006849AF">
              <w:t>Incomplete roll out of Training for the Code of Conduct and Mission Statement.</w:t>
            </w:r>
          </w:p>
          <w:p w14:paraId="2C99E9BA" w14:textId="77777777" w:rsidR="006849AF" w:rsidRPr="006849AF" w:rsidRDefault="006849AF" w:rsidP="006849AF">
            <w:pPr>
              <w:numPr>
                <w:ilvl w:val="0"/>
                <w:numId w:val="2"/>
              </w:numPr>
            </w:pPr>
            <w:r w:rsidRPr="006849AF">
              <w:t>Limited documentation and implementation issues with supply chain auditing</w:t>
            </w:r>
          </w:p>
          <w:p w14:paraId="27A85AF7" w14:textId="77777777" w:rsidR="006849AF" w:rsidRPr="006849AF" w:rsidRDefault="006849AF" w:rsidP="006849AF">
            <w:pPr>
              <w:numPr>
                <w:ilvl w:val="0"/>
                <w:numId w:val="2"/>
              </w:numPr>
            </w:pPr>
            <w:r w:rsidRPr="006849AF">
              <w:t>Documentation improvements relating to Due Diligence systems as applied in the Ukrainian supply chains.</w:t>
            </w:r>
          </w:p>
          <w:p w14:paraId="00B679C5" w14:textId="679E6877" w:rsidR="006849AF" w:rsidRDefault="006849AF" w:rsidP="006849AF">
            <w:pPr>
              <w:numPr>
                <w:ilvl w:val="0"/>
                <w:numId w:val="2"/>
              </w:numPr>
            </w:pPr>
            <w:r w:rsidRPr="006849AF">
              <w:lastRenderedPageBreak/>
              <w:t>A lack of a centralized system for registration of any identified errors in the incoming transport documentation for sawn wood and wood panels products in the HS’ processing sites in Comanesti and Siret – this finding was successfully closed before the end of the verification process.</w:t>
            </w:r>
          </w:p>
          <w:p w14:paraId="431A8262" w14:textId="6B08CBAE" w:rsidR="006849AF" w:rsidRDefault="006849AF" w:rsidP="006849AF"/>
          <w:p w14:paraId="4B7AC97F" w14:textId="2C2178ED" w:rsidR="006849AF" w:rsidRDefault="006849AF" w:rsidP="006849AF">
            <w:r>
              <w:t>All th</w:t>
            </w:r>
            <w:r w:rsidR="003C690D">
              <w:t>r</w:t>
            </w:r>
            <w:r>
              <w:t>e</w:t>
            </w:r>
            <w:r w:rsidR="003C690D">
              <w:t>e</w:t>
            </w:r>
            <w:r w:rsidR="009A11C7">
              <w:t xml:space="preserve"> of the remaining open</w:t>
            </w:r>
            <w:r>
              <w:t xml:space="preserve"> findings were successfully closed out by HS and verified by SA Cert during the remote auditing –</w:t>
            </w:r>
          </w:p>
          <w:p w14:paraId="1BE0F2EB" w14:textId="362CF656" w:rsidR="006849AF" w:rsidRDefault="006849AF" w:rsidP="006849AF"/>
          <w:p w14:paraId="75F311F0" w14:textId="74219B21" w:rsidR="006849AF" w:rsidRDefault="00592B11" w:rsidP="00592B11">
            <w:pPr>
              <w:pStyle w:val="ListParagraph"/>
              <w:numPr>
                <w:ilvl w:val="0"/>
                <w:numId w:val="34"/>
              </w:numPr>
              <w:spacing w:line="240" w:lineRule="auto"/>
            </w:pPr>
            <w:r>
              <w:t>Training records were available to demonstrate that the Code of Conduct training was complete</w:t>
            </w:r>
            <w:r w:rsidR="00671926">
              <w:t>d.</w:t>
            </w:r>
          </w:p>
          <w:p w14:paraId="5C2FC63D" w14:textId="0A851A4C" w:rsidR="00592B11" w:rsidRDefault="00056ED0" w:rsidP="00592B11">
            <w:pPr>
              <w:pStyle w:val="ListParagraph"/>
              <w:numPr>
                <w:ilvl w:val="0"/>
                <w:numId w:val="34"/>
              </w:numPr>
              <w:spacing w:line="240" w:lineRule="auto"/>
            </w:pPr>
            <w:r>
              <w:t xml:space="preserve">Evidence on the </w:t>
            </w:r>
            <w:r w:rsidR="00AF11A9">
              <w:t>supply</w:t>
            </w:r>
            <w:r>
              <w:t xml:space="preserve">-chain auditing demonstrated that internal procedures had been reviewed and improved; the software systems used for auditing had been further improved and integrated, and the auditors had received training on the use of the new systems. </w:t>
            </w:r>
          </w:p>
          <w:p w14:paraId="581052E6" w14:textId="77777777" w:rsidR="00844212" w:rsidRDefault="0061242E" w:rsidP="003C690D">
            <w:pPr>
              <w:pStyle w:val="ListParagraph"/>
              <w:numPr>
                <w:ilvl w:val="0"/>
                <w:numId w:val="34"/>
              </w:numPr>
              <w:spacing w:line="240" w:lineRule="auto"/>
            </w:pPr>
            <w:r>
              <w:t xml:space="preserve">Evidence on the Ukranian due diligence and auditing systems demonstrated that </w:t>
            </w:r>
            <w:r w:rsidR="00FB7DD3">
              <w:t xml:space="preserve">extra detail had been added to audit checklists and </w:t>
            </w:r>
            <w:r w:rsidR="00AF11A9">
              <w:t>processes</w:t>
            </w:r>
            <w:r w:rsidR="00FB7DD3">
              <w:t xml:space="preserve"> to incorporate the risks previously </w:t>
            </w:r>
            <w:r w:rsidR="00AF11A9">
              <w:t>identified.</w:t>
            </w:r>
            <w:r w:rsidR="00822E51">
              <w:t xml:space="preserve"> </w:t>
            </w:r>
          </w:p>
          <w:p w14:paraId="4E6CAC65" w14:textId="417B748F" w:rsidR="00AF11A9" w:rsidRPr="006849AF" w:rsidRDefault="009E158A" w:rsidP="009E158A">
            <w:r>
              <w:t>It should be noted that t</w:t>
            </w:r>
            <w:r w:rsidR="00822E51">
              <w:t>he recent FSC Risk Assessment for Romania specifies and considers the risks of wood not covered by legal harvesting and transport documents entering the HS’ supply chain</w:t>
            </w:r>
            <w:r w:rsidR="00040043">
              <w:t>s</w:t>
            </w:r>
            <w:r w:rsidR="00822E51">
              <w:t xml:space="preserve"> through suppliers delivering saw logs via log yards.</w:t>
            </w:r>
          </w:p>
          <w:p w14:paraId="1969F976" w14:textId="77777777" w:rsidR="003F5CF0" w:rsidRDefault="003F5CF0"/>
        </w:tc>
      </w:tr>
      <w:tr w:rsidR="003F5CF0" w14:paraId="72F82E0E" w14:textId="77777777" w:rsidTr="009550B7">
        <w:tc>
          <w:tcPr>
            <w:tcW w:w="551" w:type="dxa"/>
          </w:tcPr>
          <w:p w14:paraId="741FE9F1" w14:textId="49ACB977" w:rsidR="003F5CF0" w:rsidRPr="00507E50" w:rsidRDefault="00150B11">
            <w:pPr>
              <w:rPr>
                <w:b/>
                <w:bCs/>
              </w:rPr>
            </w:pPr>
            <w:r w:rsidRPr="00507E50">
              <w:rPr>
                <w:b/>
                <w:bCs/>
              </w:rPr>
              <w:lastRenderedPageBreak/>
              <w:t>9</w:t>
            </w:r>
          </w:p>
        </w:tc>
        <w:tc>
          <w:tcPr>
            <w:tcW w:w="4330" w:type="dxa"/>
          </w:tcPr>
          <w:p w14:paraId="075EBE1C" w14:textId="7809A20A" w:rsidR="003F5CF0" w:rsidRPr="00507E50" w:rsidRDefault="009C4E75">
            <w:pPr>
              <w:rPr>
                <w:b/>
                <w:bCs/>
              </w:rPr>
            </w:pPr>
            <w:r w:rsidRPr="00507E50">
              <w:rPr>
                <w:b/>
                <w:bCs/>
              </w:rPr>
              <w:t>What stakeholder consultation process took place and what feedback was received?</w:t>
            </w:r>
          </w:p>
        </w:tc>
        <w:tc>
          <w:tcPr>
            <w:tcW w:w="6176" w:type="dxa"/>
          </w:tcPr>
          <w:p w14:paraId="50F88503" w14:textId="77777777" w:rsidR="00D5548C" w:rsidRPr="00D5548C" w:rsidRDefault="00D5548C" w:rsidP="00D5548C">
            <w:r w:rsidRPr="00D5548C">
              <w:t>A targeted stakeholder consultation process was undertaken directly by FSC concurrently and ran for 6 weeks. The objective of the consultation was to gather information on the stakeholder perceptions about HS Timber Group’s operations in Slovakia, in the context of the FSC Roadmap implementation (and beyond). Stakeholders were chosen to include those who had expressed concerns or submitted comments for the first verification, and other key stakeholders within Slovakia (and beyond) following inputs from HS Group.</w:t>
            </w:r>
          </w:p>
          <w:p w14:paraId="7B81018E" w14:textId="77777777" w:rsidR="003F5CF0" w:rsidRDefault="003F5CF0"/>
          <w:p w14:paraId="58AFFFE1" w14:textId="6F01607F" w:rsidR="00D5548C" w:rsidRDefault="00D5548C">
            <w:r>
              <w:t>There were no Stakeholder comments received as a result of the consultation.</w:t>
            </w:r>
          </w:p>
        </w:tc>
      </w:tr>
    </w:tbl>
    <w:p w14:paraId="454C50C8" w14:textId="668729B2" w:rsidR="00AB4B2B" w:rsidRDefault="00AB4B2B"/>
    <w:p w14:paraId="6A5781FB" w14:textId="3A225EBD" w:rsidR="00DD5326" w:rsidRDefault="00DD5326"/>
    <w:p w14:paraId="5399495B" w14:textId="3AA019F3" w:rsidR="00DD5326" w:rsidRDefault="00DD5326"/>
    <w:p w14:paraId="2B105CB7" w14:textId="2DC19F5D" w:rsidR="00DD5326" w:rsidRDefault="00DD5326"/>
    <w:p w14:paraId="1D7083E7" w14:textId="0081095E" w:rsidR="00DD5326" w:rsidRDefault="00DD5326"/>
    <w:sectPr w:rsidR="00DD532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6E84A" w14:textId="77777777" w:rsidR="001A1B66" w:rsidRDefault="001A1B66" w:rsidP="00507E50">
      <w:pPr>
        <w:spacing w:after="0" w:line="240" w:lineRule="auto"/>
      </w:pPr>
      <w:r>
        <w:separator/>
      </w:r>
    </w:p>
  </w:endnote>
  <w:endnote w:type="continuationSeparator" w:id="0">
    <w:p w14:paraId="63EFABE0" w14:textId="77777777" w:rsidR="001A1B66" w:rsidRDefault="001A1B66" w:rsidP="0050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6355478"/>
      <w:docPartObj>
        <w:docPartGallery w:val="Page Numbers (Bottom of Page)"/>
        <w:docPartUnique/>
      </w:docPartObj>
    </w:sdtPr>
    <w:sdtEndPr>
      <w:rPr>
        <w:noProof/>
      </w:rPr>
    </w:sdtEndPr>
    <w:sdtContent>
      <w:p w14:paraId="13393D67" w14:textId="7DD7E896" w:rsidR="00507E50" w:rsidRDefault="00507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AE8518" w14:textId="77777777" w:rsidR="00507E50" w:rsidRDefault="00507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A51F8" w14:textId="77777777" w:rsidR="001A1B66" w:rsidRDefault="001A1B66" w:rsidP="00507E50">
      <w:pPr>
        <w:spacing w:after="0" w:line="240" w:lineRule="auto"/>
      </w:pPr>
      <w:r>
        <w:separator/>
      </w:r>
    </w:p>
  </w:footnote>
  <w:footnote w:type="continuationSeparator" w:id="0">
    <w:p w14:paraId="2D276848" w14:textId="77777777" w:rsidR="001A1B66" w:rsidRDefault="001A1B66" w:rsidP="00507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09BA"/>
    <w:multiLevelType w:val="hybridMultilevel"/>
    <w:tmpl w:val="A8E0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46BBD"/>
    <w:multiLevelType w:val="hybridMultilevel"/>
    <w:tmpl w:val="F36AAE7A"/>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01ECC"/>
    <w:multiLevelType w:val="hybridMultilevel"/>
    <w:tmpl w:val="6F8C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E2267"/>
    <w:multiLevelType w:val="hybridMultilevel"/>
    <w:tmpl w:val="28965D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086C73"/>
    <w:multiLevelType w:val="hybridMultilevel"/>
    <w:tmpl w:val="F5929D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1422CC"/>
    <w:multiLevelType w:val="hybridMultilevel"/>
    <w:tmpl w:val="32F68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216F6D"/>
    <w:multiLevelType w:val="hybridMultilevel"/>
    <w:tmpl w:val="CE58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C4E1E"/>
    <w:multiLevelType w:val="hybridMultilevel"/>
    <w:tmpl w:val="390AA52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286A1C1D"/>
    <w:multiLevelType w:val="hybridMultilevel"/>
    <w:tmpl w:val="8B469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97C40"/>
    <w:multiLevelType w:val="hybridMultilevel"/>
    <w:tmpl w:val="071E8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1844EE"/>
    <w:multiLevelType w:val="hybridMultilevel"/>
    <w:tmpl w:val="34D06C78"/>
    <w:lvl w:ilvl="0" w:tplc="581C914E">
      <w:numFmt w:val="bullet"/>
      <w:lvlText w:val="-"/>
      <w:lvlJc w:val="left"/>
      <w:pPr>
        <w:ind w:left="68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571D4"/>
    <w:multiLevelType w:val="hybridMultilevel"/>
    <w:tmpl w:val="43BC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502AC"/>
    <w:multiLevelType w:val="hybridMultilevel"/>
    <w:tmpl w:val="8160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E1204"/>
    <w:multiLevelType w:val="hybridMultilevel"/>
    <w:tmpl w:val="BEC05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86549"/>
    <w:multiLevelType w:val="hybridMultilevel"/>
    <w:tmpl w:val="BC20C5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35D7F57"/>
    <w:multiLevelType w:val="hybridMultilevel"/>
    <w:tmpl w:val="0902F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A6E130A"/>
    <w:multiLevelType w:val="hybridMultilevel"/>
    <w:tmpl w:val="D11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A73B39"/>
    <w:multiLevelType w:val="hybridMultilevel"/>
    <w:tmpl w:val="7292B512"/>
    <w:lvl w:ilvl="0" w:tplc="20000001">
      <w:start w:val="1"/>
      <w:numFmt w:val="bullet"/>
      <w:lvlText w:val=""/>
      <w:lvlJc w:val="left"/>
      <w:pPr>
        <w:ind w:left="6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71D6E"/>
    <w:multiLevelType w:val="hybridMultilevel"/>
    <w:tmpl w:val="74AC7C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FE70ED6"/>
    <w:multiLevelType w:val="hybridMultilevel"/>
    <w:tmpl w:val="DAA80B34"/>
    <w:lvl w:ilvl="0" w:tplc="581C914E">
      <w:numFmt w:val="bullet"/>
      <w:lvlText w:val="-"/>
      <w:lvlJc w:val="left"/>
      <w:pPr>
        <w:ind w:left="685" w:hanging="360"/>
      </w:pPr>
      <w:rPr>
        <w:rFonts w:ascii="Calibri" w:eastAsiaTheme="minorHAnsi" w:hAnsi="Calibri" w:cs="Calibri" w:hint="default"/>
      </w:rPr>
    </w:lvl>
    <w:lvl w:ilvl="1" w:tplc="08090003" w:tentative="1">
      <w:start w:val="1"/>
      <w:numFmt w:val="bullet"/>
      <w:lvlText w:val="o"/>
      <w:lvlJc w:val="left"/>
      <w:pPr>
        <w:ind w:left="1405" w:hanging="360"/>
      </w:pPr>
      <w:rPr>
        <w:rFonts w:ascii="Courier New" w:hAnsi="Courier New" w:cs="Courier New" w:hint="default"/>
      </w:rPr>
    </w:lvl>
    <w:lvl w:ilvl="2" w:tplc="08090005" w:tentative="1">
      <w:start w:val="1"/>
      <w:numFmt w:val="bullet"/>
      <w:lvlText w:val=""/>
      <w:lvlJc w:val="left"/>
      <w:pPr>
        <w:ind w:left="2125" w:hanging="360"/>
      </w:pPr>
      <w:rPr>
        <w:rFonts w:ascii="Wingdings" w:hAnsi="Wingdings" w:hint="default"/>
      </w:rPr>
    </w:lvl>
    <w:lvl w:ilvl="3" w:tplc="08090001" w:tentative="1">
      <w:start w:val="1"/>
      <w:numFmt w:val="bullet"/>
      <w:lvlText w:val=""/>
      <w:lvlJc w:val="left"/>
      <w:pPr>
        <w:ind w:left="2845" w:hanging="360"/>
      </w:pPr>
      <w:rPr>
        <w:rFonts w:ascii="Symbol" w:hAnsi="Symbol" w:hint="default"/>
      </w:rPr>
    </w:lvl>
    <w:lvl w:ilvl="4" w:tplc="08090003" w:tentative="1">
      <w:start w:val="1"/>
      <w:numFmt w:val="bullet"/>
      <w:lvlText w:val="o"/>
      <w:lvlJc w:val="left"/>
      <w:pPr>
        <w:ind w:left="3565" w:hanging="360"/>
      </w:pPr>
      <w:rPr>
        <w:rFonts w:ascii="Courier New" w:hAnsi="Courier New" w:cs="Courier New" w:hint="default"/>
      </w:rPr>
    </w:lvl>
    <w:lvl w:ilvl="5" w:tplc="08090005" w:tentative="1">
      <w:start w:val="1"/>
      <w:numFmt w:val="bullet"/>
      <w:lvlText w:val=""/>
      <w:lvlJc w:val="left"/>
      <w:pPr>
        <w:ind w:left="4285" w:hanging="360"/>
      </w:pPr>
      <w:rPr>
        <w:rFonts w:ascii="Wingdings" w:hAnsi="Wingdings" w:hint="default"/>
      </w:rPr>
    </w:lvl>
    <w:lvl w:ilvl="6" w:tplc="08090001" w:tentative="1">
      <w:start w:val="1"/>
      <w:numFmt w:val="bullet"/>
      <w:lvlText w:val=""/>
      <w:lvlJc w:val="left"/>
      <w:pPr>
        <w:ind w:left="5005" w:hanging="360"/>
      </w:pPr>
      <w:rPr>
        <w:rFonts w:ascii="Symbol" w:hAnsi="Symbol" w:hint="default"/>
      </w:rPr>
    </w:lvl>
    <w:lvl w:ilvl="7" w:tplc="08090003" w:tentative="1">
      <w:start w:val="1"/>
      <w:numFmt w:val="bullet"/>
      <w:lvlText w:val="o"/>
      <w:lvlJc w:val="left"/>
      <w:pPr>
        <w:ind w:left="5725" w:hanging="360"/>
      </w:pPr>
      <w:rPr>
        <w:rFonts w:ascii="Courier New" w:hAnsi="Courier New" w:cs="Courier New" w:hint="default"/>
      </w:rPr>
    </w:lvl>
    <w:lvl w:ilvl="8" w:tplc="08090005" w:tentative="1">
      <w:start w:val="1"/>
      <w:numFmt w:val="bullet"/>
      <w:lvlText w:val=""/>
      <w:lvlJc w:val="left"/>
      <w:pPr>
        <w:ind w:left="6445" w:hanging="360"/>
      </w:pPr>
      <w:rPr>
        <w:rFonts w:ascii="Wingdings" w:hAnsi="Wingdings" w:hint="default"/>
      </w:rPr>
    </w:lvl>
  </w:abstractNum>
  <w:abstractNum w:abstractNumId="20" w15:restartNumberingAfterBreak="0">
    <w:nsid w:val="553B0FC4"/>
    <w:multiLevelType w:val="hybridMultilevel"/>
    <w:tmpl w:val="2988AE6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5ED850E5"/>
    <w:multiLevelType w:val="hybridMultilevel"/>
    <w:tmpl w:val="710E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A2C95"/>
    <w:multiLevelType w:val="hybridMultilevel"/>
    <w:tmpl w:val="C35AC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CA3BCB"/>
    <w:multiLevelType w:val="hybridMultilevel"/>
    <w:tmpl w:val="FCD2A350"/>
    <w:lvl w:ilvl="0" w:tplc="20000003">
      <w:start w:val="1"/>
      <w:numFmt w:val="bullet"/>
      <w:lvlText w:val="o"/>
      <w:lvlJc w:val="left"/>
      <w:pPr>
        <w:ind w:left="1405" w:hanging="360"/>
      </w:pPr>
      <w:rPr>
        <w:rFonts w:ascii="Courier New" w:hAnsi="Courier New" w:cs="Courier New" w:hint="default"/>
      </w:rPr>
    </w:lvl>
    <w:lvl w:ilvl="1" w:tplc="08090003" w:tentative="1">
      <w:start w:val="1"/>
      <w:numFmt w:val="bullet"/>
      <w:lvlText w:val="o"/>
      <w:lvlJc w:val="left"/>
      <w:pPr>
        <w:ind w:left="2125" w:hanging="360"/>
      </w:pPr>
      <w:rPr>
        <w:rFonts w:ascii="Courier New" w:hAnsi="Courier New" w:cs="Courier New" w:hint="default"/>
      </w:rPr>
    </w:lvl>
    <w:lvl w:ilvl="2" w:tplc="08090005" w:tentative="1">
      <w:start w:val="1"/>
      <w:numFmt w:val="bullet"/>
      <w:lvlText w:val=""/>
      <w:lvlJc w:val="left"/>
      <w:pPr>
        <w:ind w:left="2845" w:hanging="360"/>
      </w:pPr>
      <w:rPr>
        <w:rFonts w:ascii="Wingdings" w:hAnsi="Wingdings" w:hint="default"/>
      </w:rPr>
    </w:lvl>
    <w:lvl w:ilvl="3" w:tplc="08090001" w:tentative="1">
      <w:start w:val="1"/>
      <w:numFmt w:val="bullet"/>
      <w:lvlText w:val=""/>
      <w:lvlJc w:val="left"/>
      <w:pPr>
        <w:ind w:left="3565" w:hanging="360"/>
      </w:pPr>
      <w:rPr>
        <w:rFonts w:ascii="Symbol" w:hAnsi="Symbol" w:hint="default"/>
      </w:rPr>
    </w:lvl>
    <w:lvl w:ilvl="4" w:tplc="08090003" w:tentative="1">
      <w:start w:val="1"/>
      <w:numFmt w:val="bullet"/>
      <w:lvlText w:val="o"/>
      <w:lvlJc w:val="left"/>
      <w:pPr>
        <w:ind w:left="4285" w:hanging="360"/>
      </w:pPr>
      <w:rPr>
        <w:rFonts w:ascii="Courier New" w:hAnsi="Courier New" w:cs="Courier New" w:hint="default"/>
      </w:rPr>
    </w:lvl>
    <w:lvl w:ilvl="5" w:tplc="08090005" w:tentative="1">
      <w:start w:val="1"/>
      <w:numFmt w:val="bullet"/>
      <w:lvlText w:val=""/>
      <w:lvlJc w:val="left"/>
      <w:pPr>
        <w:ind w:left="5005" w:hanging="360"/>
      </w:pPr>
      <w:rPr>
        <w:rFonts w:ascii="Wingdings" w:hAnsi="Wingdings" w:hint="default"/>
      </w:rPr>
    </w:lvl>
    <w:lvl w:ilvl="6" w:tplc="08090001" w:tentative="1">
      <w:start w:val="1"/>
      <w:numFmt w:val="bullet"/>
      <w:lvlText w:val=""/>
      <w:lvlJc w:val="left"/>
      <w:pPr>
        <w:ind w:left="5725" w:hanging="360"/>
      </w:pPr>
      <w:rPr>
        <w:rFonts w:ascii="Symbol" w:hAnsi="Symbol" w:hint="default"/>
      </w:rPr>
    </w:lvl>
    <w:lvl w:ilvl="7" w:tplc="08090003" w:tentative="1">
      <w:start w:val="1"/>
      <w:numFmt w:val="bullet"/>
      <w:lvlText w:val="o"/>
      <w:lvlJc w:val="left"/>
      <w:pPr>
        <w:ind w:left="6445" w:hanging="360"/>
      </w:pPr>
      <w:rPr>
        <w:rFonts w:ascii="Courier New" w:hAnsi="Courier New" w:cs="Courier New" w:hint="default"/>
      </w:rPr>
    </w:lvl>
    <w:lvl w:ilvl="8" w:tplc="08090005" w:tentative="1">
      <w:start w:val="1"/>
      <w:numFmt w:val="bullet"/>
      <w:lvlText w:val=""/>
      <w:lvlJc w:val="left"/>
      <w:pPr>
        <w:ind w:left="7165" w:hanging="360"/>
      </w:pPr>
      <w:rPr>
        <w:rFonts w:ascii="Wingdings" w:hAnsi="Wingdings" w:hint="default"/>
      </w:rPr>
    </w:lvl>
  </w:abstractNum>
  <w:abstractNum w:abstractNumId="24" w15:restartNumberingAfterBreak="0">
    <w:nsid w:val="6362730D"/>
    <w:multiLevelType w:val="hybridMultilevel"/>
    <w:tmpl w:val="EEA6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322F5B"/>
    <w:multiLevelType w:val="hybridMultilevel"/>
    <w:tmpl w:val="FEAC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5F6FD5"/>
    <w:multiLevelType w:val="hybridMultilevel"/>
    <w:tmpl w:val="15583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A2502A"/>
    <w:multiLevelType w:val="hybridMultilevel"/>
    <w:tmpl w:val="CF4C1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95A52"/>
    <w:multiLevelType w:val="hybridMultilevel"/>
    <w:tmpl w:val="65448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AE7BC9"/>
    <w:multiLevelType w:val="hybridMultilevel"/>
    <w:tmpl w:val="43C8D0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8C43A79"/>
    <w:multiLevelType w:val="hybridMultilevel"/>
    <w:tmpl w:val="950682B4"/>
    <w:lvl w:ilvl="0" w:tplc="066A92F0">
      <w:numFmt w:val="bullet"/>
      <w:lvlText w:val="-"/>
      <w:lvlJc w:val="left"/>
      <w:pPr>
        <w:ind w:left="720" w:hanging="360"/>
      </w:pPr>
      <w:rPr>
        <w:rFonts w:ascii="Calibri" w:eastAsia="Times New Rom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A097A61"/>
    <w:multiLevelType w:val="hybridMultilevel"/>
    <w:tmpl w:val="48542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FB2840"/>
    <w:multiLevelType w:val="hybridMultilevel"/>
    <w:tmpl w:val="A7108DA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3" w15:restartNumberingAfterBreak="0">
    <w:nsid w:val="7F024D23"/>
    <w:multiLevelType w:val="hybridMultilevel"/>
    <w:tmpl w:val="D8D0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21"/>
  </w:num>
  <w:num w:numId="4">
    <w:abstractNumId w:val="0"/>
  </w:num>
  <w:num w:numId="5">
    <w:abstractNumId w:val="29"/>
  </w:num>
  <w:num w:numId="6">
    <w:abstractNumId w:val="30"/>
  </w:num>
  <w:num w:numId="7">
    <w:abstractNumId w:val="15"/>
  </w:num>
  <w:num w:numId="8">
    <w:abstractNumId w:val="18"/>
  </w:num>
  <w:num w:numId="9">
    <w:abstractNumId w:val="5"/>
  </w:num>
  <w:num w:numId="10">
    <w:abstractNumId w:val="14"/>
  </w:num>
  <w:num w:numId="11">
    <w:abstractNumId w:val="24"/>
  </w:num>
  <w:num w:numId="12">
    <w:abstractNumId w:val="3"/>
  </w:num>
  <w:num w:numId="13">
    <w:abstractNumId w:val="4"/>
  </w:num>
  <w:num w:numId="14">
    <w:abstractNumId w:val="19"/>
  </w:num>
  <w:num w:numId="15">
    <w:abstractNumId w:val="10"/>
  </w:num>
  <w:num w:numId="16">
    <w:abstractNumId w:val="17"/>
  </w:num>
  <w:num w:numId="17">
    <w:abstractNumId w:val="1"/>
  </w:num>
  <w:num w:numId="18">
    <w:abstractNumId w:val="23"/>
  </w:num>
  <w:num w:numId="19">
    <w:abstractNumId w:val="33"/>
  </w:num>
  <w:num w:numId="20">
    <w:abstractNumId w:val="11"/>
  </w:num>
  <w:num w:numId="21">
    <w:abstractNumId w:val="8"/>
  </w:num>
  <w:num w:numId="22">
    <w:abstractNumId w:val="27"/>
  </w:num>
  <w:num w:numId="23">
    <w:abstractNumId w:val="28"/>
  </w:num>
  <w:num w:numId="24">
    <w:abstractNumId w:val="12"/>
  </w:num>
  <w:num w:numId="25">
    <w:abstractNumId w:val="6"/>
  </w:num>
  <w:num w:numId="26">
    <w:abstractNumId w:val="7"/>
  </w:num>
  <w:num w:numId="27">
    <w:abstractNumId w:val="26"/>
  </w:num>
  <w:num w:numId="28">
    <w:abstractNumId w:val="25"/>
  </w:num>
  <w:num w:numId="29">
    <w:abstractNumId w:val="22"/>
  </w:num>
  <w:num w:numId="30">
    <w:abstractNumId w:val="32"/>
  </w:num>
  <w:num w:numId="31">
    <w:abstractNumId w:val="13"/>
  </w:num>
  <w:num w:numId="32">
    <w:abstractNumId w:val="31"/>
  </w:num>
  <w:num w:numId="33">
    <w:abstractNumId w:val="9"/>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4C"/>
    <w:rsid w:val="000005DA"/>
    <w:rsid w:val="00001F19"/>
    <w:rsid w:val="00006C2D"/>
    <w:rsid w:val="000202B8"/>
    <w:rsid w:val="00022B09"/>
    <w:rsid w:val="00024E65"/>
    <w:rsid w:val="00040043"/>
    <w:rsid w:val="00040540"/>
    <w:rsid w:val="00042687"/>
    <w:rsid w:val="00056ED0"/>
    <w:rsid w:val="00062DA0"/>
    <w:rsid w:val="000A01A4"/>
    <w:rsid w:val="000A067C"/>
    <w:rsid w:val="000A43D7"/>
    <w:rsid w:val="000A4DA3"/>
    <w:rsid w:val="000A6CBA"/>
    <w:rsid w:val="000B0790"/>
    <w:rsid w:val="000B1B92"/>
    <w:rsid w:val="000B5FDA"/>
    <w:rsid w:val="000C0B35"/>
    <w:rsid w:val="000D1667"/>
    <w:rsid w:val="000D1C46"/>
    <w:rsid w:val="000D7854"/>
    <w:rsid w:val="000D7B2D"/>
    <w:rsid w:val="000D7F5D"/>
    <w:rsid w:val="000E30B6"/>
    <w:rsid w:val="000E31AD"/>
    <w:rsid w:val="001019DE"/>
    <w:rsid w:val="00125857"/>
    <w:rsid w:val="0012605E"/>
    <w:rsid w:val="001317F0"/>
    <w:rsid w:val="00135AF8"/>
    <w:rsid w:val="001361CA"/>
    <w:rsid w:val="001369D7"/>
    <w:rsid w:val="00142E76"/>
    <w:rsid w:val="00143343"/>
    <w:rsid w:val="00144C7D"/>
    <w:rsid w:val="00150B11"/>
    <w:rsid w:val="00153A08"/>
    <w:rsid w:val="00154FE2"/>
    <w:rsid w:val="001609DF"/>
    <w:rsid w:val="001671E7"/>
    <w:rsid w:val="00182626"/>
    <w:rsid w:val="00186CD7"/>
    <w:rsid w:val="00197145"/>
    <w:rsid w:val="001A179D"/>
    <w:rsid w:val="001A1B66"/>
    <w:rsid w:val="001A5E16"/>
    <w:rsid w:val="001B76DB"/>
    <w:rsid w:val="001C3FC8"/>
    <w:rsid w:val="001C70F0"/>
    <w:rsid w:val="001D3682"/>
    <w:rsid w:val="001E4349"/>
    <w:rsid w:val="001F09AB"/>
    <w:rsid w:val="001F4608"/>
    <w:rsid w:val="00215732"/>
    <w:rsid w:val="002249FF"/>
    <w:rsid w:val="0022681A"/>
    <w:rsid w:val="002356AF"/>
    <w:rsid w:val="002364A5"/>
    <w:rsid w:val="002371FC"/>
    <w:rsid w:val="002416BC"/>
    <w:rsid w:val="002465BB"/>
    <w:rsid w:val="00246B77"/>
    <w:rsid w:val="00254755"/>
    <w:rsid w:val="002561AE"/>
    <w:rsid w:val="00260CEC"/>
    <w:rsid w:val="00264DA6"/>
    <w:rsid w:val="00286A0C"/>
    <w:rsid w:val="002A263C"/>
    <w:rsid w:val="002A4C63"/>
    <w:rsid w:val="002A775B"/>
    <w:rsid w:val="002A7F4F"/>
    <w:rsid w:val="002C5709"/>
    <w:rsid w:val="002C6591"/>
    <w:rsid w:val="002E0073"/>
    <w:rsid w:val="002E4DCE"/>
    <w:rsid w:val="003021D7"/>
    <w:rsid w:val="00302AA0"/>
    <w:rsid w:val="00312E6B"/>
    <w:rsid w:val="00320371"/>
    <w:rsid w:val="003215BE"/>
    <w:rsid w:val="003238E5"/>
    <w:rsid w:val="00327C12"/>
    <w:rsid w:val="00340922"/>
    <w:rsid w:val="00341658"/>
    <w:rsid w:val="003426AA"/>
    <w:rsid w:val="00347DC3"/>
    <w:rsid w:val="00360942"/>
    <w:rsid w:val="0036570D"/>
    <w:rsid w:val="00366443"/>
    <w:rsid w:val="00367F4A"/>
    <w:rsid w:val="00374703"/>
    <w:rsid w:val="0038370B"/>
    <w:rsid w:val="003847F2"/>
    <w:rsid w:val="003913CB"/>
    <w:rsid w:val="00392D81"/>
    <w:rsid w:val="00394C4A"/>
    <w:rsid w:val="003A0E77"/>
    <w:rsid w:val="003B6CC9"/>
    <w:rsid w:val="003B765F"/>
    <w:rsid w:val="003C690D"/>
    <w:rsid w:val="003D26C6"/>
    <w:rsid w:val="003D42DB"/>
    <w:rsid w:val="003D49EC"/>
    <w:rsid w:val="003E09A4"/>
    <w:rsid w:val="003E6E34"/>
    <w:rsid w:val="003E7175"/>
    <w:rsid w:val="003F3584"/>
    <w:rsid w:val="003F46F0"/>
    <w:rsid w:val="003F4DD6"/>
    <w:rsid w:val="003F5CF0"/>
    <w:rsid w:val="00401292"/>
    <w:rsid w:val="00402BA8"/>
    <w:rsid w:val="00411099"/>
    <w:rsid w:val="00412F49"/>
    <w:rsid w:val="004150ED"/>
    <w:rsid w:val="00416348"/>
    <w:rsid w:val="00417782"/>
    <w:rsid w:val="00427BB1"/>
    <w:rsid w:val="00437096"/>
    <w:rsid w:val="00440C8D"/>
    <w:rsid w:val="004430BC"/>
    <w:rsid w:val="004431ED"/>
    <w:rsid w:val="004431FD"/>
    <w:rsid w:val="004465F2"/>
    <w:rsid w:val="00447F8F"/>
    <w:rsid w:val="00457675"/>
    <w:rsid w:val="00457795"/>
    <w:rsid w:val="004620C0"/>
    <w:rsid w:val="00465D3A"/>
    <w:rsid w:val="004707E6"/>
    <w:rsid w:val="004712B0"/>
    <w:rsid w:val="00471818"/>
    <w:rsid w:val="00472DB5"/>
    <w:rsid w:val="004801B5"/>
    <w:rsid w:val="00487E6A"/>
    <w:rsid w:val="004A2E8D"/>
    <w:rsid w:val="004B180F"/>
    <w:rsid w:val="004B3340"/>
    <w:rsid w:val="004B4EEF"/>
    <w:rsid w:val="004C3ADB"/>
    <w:rsid w:val="004C653C"/>
    <w:rsid w:val="004C7F99"/>
    <w:rsid w:val="004D47C9"/>
    <w:rsid w:val="004D6E95"/>
    <w:rsid w:val="004D7D27"/>
    <w:rsid w:val="004E35C8"/>
    <w:rsid w:val="004F3B55"/>
    <w:rsid w:val="004F4CD2"/>
    <w:rsid w:val="004F7607"/>
    <w:rsid w:val="00506DFD"/>
    <w:rsid w:val="00507E50"/>
    <w:rsid w:val="005217E0"/>
    <w:rsid w:val="00537714"/>
    <w:rsid w:val="00541C2D"/>
    <w:rsid w:val="00543840"/>
    <w:rsid w:val="00544C00"/>
    <w:rsid w:val="00547628"/>
    <w:rsid w:val="00551B52"/>
    <w:rsid w:val="005544EB"/>
    <w:rsid w:val="00557613"/>
    <w:rsid w:val="00563AA7"/>
    <w:rsid w:val="00567F7E"/>
    <w:rsid w:val="00573444"/>
    <w:rsid w:val="005915CB"/>
    <w:rsid w:val="00592B11"/>
    <w:rsid w:val="005A61BB"/>
    <w:rsid w:val="005A73BD"/>
    <w:rsid w:val="005A7969"/>
    <w:rsid w:val="005B2587"/>
    <w:rsid w:val="005B49EE"/>
    <w:rsid w:val="005B4AD3"/>
    <w:rsid w:val="005B6CE9"/>
    <w:rsid w:val="005C2942"/>
    <w:rsid w:val="005C5FE8"/>
    <w:rsid w:val="005C73CE"/>
    <w:rsid w:val="005D7CF1"/>
    <w:rsid w:val="005E3517"/>
    <w:rsid w:val="005E613D"/>
    <w:rsid w:val="005F16F8"/>
    <w:rsid w:val="006024F7"/>
    <w:rsid w:val="00605065"/>
    <w:rsid w:val="00607920"/>
    <w:rsid w:val="00611C61"/>
    <w:rsid w:val="0061242E"/>
    <w:rsid w:val="0061305E"/>
    <w:rsid w:val="0061503F"/>
    <w:rsid w:val="00615A0B"/>
    <w:rsid w:val="00621A8A"/>
    <w:rsid w:val="00626825"/>
    <w:rsid w:val="00627855"/>
    <w:rsid w:val="00630C4F"/>
    <w:rsid w:val="00633A54"/>
    <w:rsid w:val="00651C54"/>
    <w:rsid w:val="00665AF9"/>
    <w:rsid w:val="00667CEF"/>
    <w:rsid w:val="00671926"/>
    <w:rsid w:val="00682BE4"/>
    <w:rsid w:val="0068355C"/>
    <w:rsid w:val="006849AF"/>
    <w:rsid w:val="0069402A"/>
    <w:rsid w:val="006A7C7F"/>
    <w:rsid w:val="006C45FA"/>
    <w:rsid w:val="006C7C63"/>
    <w:rsid w:val="006D79A3"/>
    <w:rsid w:val="006E4191"/>
    <w:rsid w:val="006E424A"/>
    <w:rsid w:val="00702601"/>
    <w:rsid w:val="0070301C"/>
    <w:rsid w:val="00726461"/>
    <w:rsid w:val="00726495"/>
    <w:rsid w:val="007267EC"/>
    <w:rsid w:val="00727295"/>
    <w:rsid w:val="00727596"/>
    <w:rsid w:val="00734985"/>
    <w:rsid w:val="0073643E"/>
    <w:rsid w:val="00744FCF"/>
    <w:rsid w:val="007452A1"/>
    <w:rsid w:val="00745640"/>
    <w:rsid w:val="00746F54"/>
    <w:rsid w:val="00746F6E"/>
    <w:rsid w:val="007522A1"/>
    <w:rsid w:val="00754295"/>
    <w:rsid w:val="00765D92"/>
    <w:rsid w:val="00766616"/>
    <w:rsid w:val="00780289"/>
    <w:rsid w:val="007831C5"/>
    <w:rsid w:val="00790ED0"/>
    <w:rsid w:val="00793B99"/>
    <w:rsid w:val="00794026"/>
    <w:rsid w:val="00794C1D"/>
    <w:rsid w:val="00796C11"/>
    <w:rsid w:val="007A38C1"/>
    <w:rsid w:val="007A3C0B"/>
    <w:rsid w:val="007A6057"/>
    <w:rsid w:val="007C3409"/>
    <w:rsid w:val="007D1D7E"/>
    <w:rsid w:val="007D307F"/>
    <w:rsid w:val="007E18C3"/>
    <w:rsid w:val="007E39EE"/>
    <w:rsid w:val="007E6DFF"/>
    <w:rsid w:val="007F055F"/>
    <w:rsid w:val="007F28E1"/>
    <w:rsid w:val="00801985"/>
    <w:rsid w:val="008067E3"/>
    <w:rsid w:val="008150EE"/>
    <w:rsid w:val="008174A8"/>
    <w:rsid w:val="00822593"/>
    <w:rsid w:val="00822E51"/>
    <w:rsid w:val="00824D1D"/>
    <w:rsid w:val="00835D8F"/>
    <w:rsid w:val="008435B5"/>
    <w:rsid w:val="00843AC4"/>
    <w:rsid w:val="00844212"/>
    <w:rsid w:val="00846B4A"/>
    <w:rsid w:val="00851AA9"/>
    <w:rsid w:val="00877674"/>
    <w:rsid w:val="0088345C"/>
    <w:rsid w:val="008846BF"/>
    <w:rsid w:val="008855C8"/>
    <w:rsid w:val="0088646F"/>
    <w:rsid w:val="008952F4"/>
    <w:rsid w:val="00895CE1"/>
    <w:rsid w:val="008A1664"/>
    <w:rsid w:val="008B449D"/>
    <w:rsid w:val="008C2B5B"/>
    <w:rsid w:val="008C3B2A"/>
    <w:rsid w:val="008C5D52"/>
    <w:rsid w:val="008C7DAE"/>
    <w:rsid w:val="008E2735"/>
    <w:rsid w:val="008F0202"/>
    <w:rsid w:val="00905D2E"/>
    <w:rsid w:val="00910C03"/>
    <w:rsid w:val="00913C00"/>
    <w:rsid w:val="009168BA"/>
    <w:rsid w:val="0091728D"/>
    <w:rsid w:val="009313B8"/>
    <w:rsid w:val="00934F92"/>
    <w:rsid w:val="009350ED"/>
    <w:rsid w:val="009441C6"/>
    <w:rsid w:val="009462AA"/>
    <w:rsid w:val="00954543"/>
    <w:rsid w:val="009550B7"/>
    <w:rsid w:val="009553B3"/>
    <w:rsid w:val="009629B1"/>
    <w:rsid w:val="00974D75"/>
    <w:rsid w:val="00975905"/>
    <w:rsid w:val="00981C2C"/>
    <w:rsid w:val="00991B85"/>
    <w:rsid w:val="00991F51"/>
    <w:rsid w:val="0099561E"/>
    <w:rsid w:val="009A11C7"/>
    <w:rsid w:val="009A3CC9"/>
    <w:rsid w:val="009A5B92"/>
    <w:rsid w:val="009B0074"/>
    <w:rsid w:val="009B3D20"/>
    <w:rsid w:val="009B5205"/>
    <w:rsid w:val="009C2507"/>
    <w:rsid w:val="009C311E"/>
    <w:rsid w:val="009C4E75"/>
    <w:rsid w:val="009C5CA5"/>
    <w:rsid w:val="009D1127"/>
    <w:rsid w:val="009D3B16"/>
    <w:rsid w:val="009E158A"/>
    <w:rsid w:val="009E2FD0"/>
    <w:rsid w:val="009E5307"/>
    <w:rsid w:val="009F6841"/>
    <w:rsid w:val="009F6DD0"/>
    <w:rsid w:val="00A06B75"/>
    <w:rsid w:val="00A25938"/>
    <w:rsid w:val="00A30BEE"/>
    <w:rsid w:val="00A33375"/>
    <w:rsid w:val="00A35221"/>
    <w:rsid w:val="00A43FE3"/>
    <w:rsid w:val="00A4430C"/>
    <w:rsid w:val="00A44361"/>
    <w:rsid w:val="00A52BD1"/>
    <w:rsid w:val="00A55A4C"/>
    <w:rsid w:val="00A64EDD"/>
    <w:rsid w:val="00A66921"/>
    <w:rsid w:val="00A76994"/>
    <w:rsid w:val="00A85D3F"/>
    <w:rsid w:val="00A92FAE"/>
    <w:rsid w:val="00A9377A"/>
    <w:rsid w:val="00AB11ED"/>
    <w:rsid w:val="00AB4B2B"/>
    <w:rsid w:val="00AB6D4E"/>
    <w:rsid w:val="00AC02D3"/>
    <w:rsid w:val="00AC02D5"/>
    <w:rsid w:val="00AC105A"/>
    <w:rsid w:val="00AC13B1"/>
    <w:rsid w:val="00AD30FA"/>
    <w:rsid w:val="00AE7B0E"/>
    <w:rsid w:val="00AF11A9"/>
    <w:rsid w:val="00B12CD3"/>
    <w:rsid w:val="00B13601"/>
    <w:rsid w:val="00B171A6"/>
    <w:rsid w:val="00B23774"/>
    <w:rsid w:val="00B2726E"/>
    <w:rsid w:val="00B321A8"/>
    <w:rsid w:val="00B361EA"/>
    <w:rsid w:val="00B436E8"/>
    <w:rsid w:val="00B43DFD"/>
    <w:rsid w:val="00B44CC5"/>
    <w:rsid w:val="00B52022"/>
    <w:rsid w:val="00B52C25"/>
    <w:rsid w:val="00B7498E"/>
    <w:rsid w:val="00B8790B"/>
    <w:rsid w:val="00B90D11"/>
    <w:rsid w:val="00B964E7"/>
    <w:rsid w:val="00BA53B1"/>
    <w:rsid w:val="00BA6B81"/>
    <w:rsid w:val="00BB18B4"/>
    <w:rsid w:val="00BB2D4B"/>
    <w:rsid w:val="00BB5FFB"/>
    <w:rsid w:val="00BB6275"/>
    <w:rsid w:val="00BC00BC"/>
    <w:rsid w:val="00BC1443"/>
    <w:rsid w:val="00BC3384"/>
    <w:rsid w:val="00BC6748"/>
    <w:rsid w:val="00BD24DE"/>
    <w:rsid w:val="00BD29A2"/>
    <w:rsid w:val="00BE0D63"/>
    <w:rsid w:val="00BE1372"/>
    <w:rsid w:val="00BE2EA4"/>
    <w:rsid w:val="00BE4753"/>
    <w:rsid w:val="00BF34B7"/>
    <w:rsid w:val="00BF422E"/>
    <w:rsid w:val="00C05699"/>
    <w:rsid w:val="00C05C86"/>
    <w:rsid w:val="00C44691"/>
    <w:rsid w:val="00C47C42"/>
    <w:rsid w:val="00C505E2"/>
    <w:rsid w:val="00C54926"/>
    <w:rsid w:val="00C557F6"/>
    <w:rsid w:val="00C57C96"/>
    <w:rsid w:val="00C61DD2"/>
    <w:rsid w:val="00C62337"/>
    <w:rsid w:val="00C7078F"/>
    <w:rsid w:val="00C7115B"/>
    <w:rsid w:val="00C81A57"/>
    <w:rsid w:val="00C821FB"/>
    <w:rsid w:val="00C87385"/>
    <w:rsid w:val="00C96258"/>
    <w:rsid w:val="00CA00CB"/>
    <w:rsid w:val="00CA2771"/>
    <w:rsid w:val="00CA3038"/>
    <w:rsid w:val="00CA4148"/>
    <w:rsid w:val="00CA5128"/>
    <w:rsid w:val="00CC151E"/>
    <w:rsid w:val="00D01DAE"/>
    <w:rsid w:val="00D0411D"/>
    <w:rsid w:val="00D062F9"/>
    <w:rsid w:val="00D07CD6"/>
    <w:rsid w:val="00D07E0A"/>
    <w:rsid w:val="00D100D7"/>
    <w:rsid w:val="00D106D3"/>
    <w:rsid w:val="00D22291"/>
    <w:rsid w:val="00D2327A"/>
    <w:rsid w:val="00D27A38"/>
    <w:rsid w:val="00D41A1D"/>
    <w:rsid w:val="00D54DB3"/>
    <w:rsid w:val="00D5548C"/>
    <w:rsid w:val="00D60D01"/>
    <w:rsid w:val="00D61D07"/>
    <w:rsid w:val="00D676C7"/>
    <w:rsid w:val="00D67D46"/>
    <w:rsid w:val="00D81A85"/>
    <w:rsid w:val="00D8283B"/>
    <w:rsid w:val="00D82922"/>
    <w:rsid w:val="00D82ED2"/>
    <w:rsid w:val="00D84CD9"/>
    <w:rsid w:val="00D90975"/>
    <w:rsid w:val="00DA6FD5"/>
    <w:rsid w:val="00DA7F2A"/>
    <w:rsid w:val="00DB46D5"/>
    <w:rsid w:val="00DB58B1"/>
    <w:rsid w:val="00DB776E"/>
    <w:rsid w:val="00DC70DB"/>
    <w:rsid w:val="00DD2FA3"/>
    <w:rsid w:val="00DD5326"/>
    <w:rsid w:val="00DE2066"/>
    <w:rsid w:val="00DE7979"/>
    <w:rsid w:val="00DF12B5"/>
    <w:rsid w:val="00E05A45"/>
    <w:rsid w:val="00E11DC5"/>
    <w:rsid w:val="00E26171"/>
    <w:rsid w:val="00E26205"/>
    <w:rsid w:val="00E329E9"/>
    <w:rsid w:val="00E42E25"/>
    <w:rsid w:val="00E44E62"/>
    <w:rsid w:val="00E453DC"/>
    <w:rsid w:val="00E45DD9"/>
    <w:rsid w:val="00E52A51"/>
    <w:rsid w:val="00E533B2"/>
    <w:rsid w:val="00E62FA9"/>
    <w:rsid w:val="00E712F9"/>
    <w:rsid w:val="00E740EF"/>
    <w:rsid w:val="00E80CE5"/>
    <w:rsid w:val="00E858D0"/>
    <w:rsid w:val="00E907C8"/>
    <w:rsid w:val="00E90A4C"/>
    <w:rsid w:val="00E91752"/>
    <w:rsid w:val="00E92B14"/>
    <w:rsid w:val="00E92CBF"/>
    <w:rsid w:val="00EA49F1"/>
    <w:rsid w:val="00EA5181"/>
    <w:rsid w:val="00EB6F12"/>
    <w:rsid w:val="00EC0AB1"/>
    <w:rsid w:val="00EC2CA6"/>
    <w:rsid w:val="00EC425B"/>
    <w:rsid w:val="00EC61D1"/>
    <w:rsid w:val="00ED2CC6"/>
    <w:rsid w:val="00EF2758"/>
    <w:rsid w:val="00F101AA"/>
    <w:rsid w:val="00F10D67"/>
    <w:rsid w:val="00F11BF7"/>
    <w:rsid w:val="00F14EEF"/>
    <w:rsid w:val="00F21A16"/>
    <w:rsid w:val="00F24647"/>
    <w:rsid w:val="00F263D4"/>
    <w:rsid w:val="00F3596E"/>
    <w:rsid w:val="00F42C3E"/>
    <w:rsid w:val="00F65040"/>
    <w:rsid w:val="00F675CE"/>
    <w:rsid w:val="00F70A80"/>
    <w:rsid w:val="00F70B7C"/>
    <w:rsid w:val="00F72571"/>
    <w:rsid w:val="00F727B2"/>
    <w:rsid w:val="00F7743F"/>
    <w:rsid w:val="00F8402D"/>
    <w:rsid w:val="00F92030"/>
    <w:rsid w:val="00F96B3D"/>
    <w:rsid w:val="00FA7F97"/>
    <w:rsid w:val="00FB753F"/>
    <w:rsid w:val="00FB7A96"/>
    <w:rsid w:val="00FB7DD3"/>
    <w:rsid w:val="00FC179E"/>
    <w:rsid w:val="00FD6640"/>
    <w:rsid w:val="00FF21CF"/>
    <w:rsid w:val="00FF2F9A"/>
    <w:rsid w:val="00FF3C1E"/>
    <w:rsid w:val="00FF5231"/>
    <w:rsid w:val="00FF7BEB"/>
    <w:rsid w:val="065A1531"/>
    <w:rsid w:val="0BB94455"/>
    <w:rsid w:val="193AAAA9"/>
    <w:rsid w:val="1EA18AC7"/>
    <w:rsid w:val="26D2124A"/>
    <w:rsid w:val="2759D41E"/>
    <w:rsid w:val="29D9A64C"/>
    <w:rsid w:val="29ED1B83"/>
    <w:rsid w:val="38DC3B11"/>
    <w:rsid w:val="3933F5D9"/>
    <w:rsid w:val="3B0FDA28"/>
    <w:rsid w:val="3DDBB245"/>
    <w:rsid w:val="442EFA9A"/>
    <w:rsid w:val="4616B256"/>
    <w:rsid w:val="4784EDBD"/>
    <w:rsid w:val="4A288760"/>
    <w:rsid w:val="4CF750D3"/>
    <w:rsid w:val="4D0EF788"/>
    <w:rsid w:val="5112A7A6"/>
    <w:rsid w:val="52FA5F62"/>
    <w:rsid w:val="5A0892D9"/>
    <w:rsid w:val="68C21BB5"/>
    <w:rsid w:val="6ECC8052"/>
    <w:rsid w:val="6F84ACEE"/>
    <w:rsid w:val="75DAB3C9"/>
    <w:rsid w:val="7930A6EC"/>
    <w:rsid w:val="797314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1F52"/>
  <w15:chartTrackingRefBased/>
  <w15:docId w15:val="{7E820BD9-7E38-425C-B87C-261CCA32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A4C"/>
    <w:pPr>
      <w:spacing w:line="252" w:lineRule="auto"/>
      <w:ind w:left="720"/>
      <w:contextualSpacing/>
    </w:pPr>
    <w:rPr>
      <w:rFonts w:ascii="Calibri" w:hAnsi="Calibri" w:cs="Calibri"/>
    </w:rPr>
  </w:style>
  <w:style w:type="table" w:styleId="TableGrid">
    <w:name w:val="Table Grid"/>
    <w:basedOn w:val="TableNormal"/>
    <w:uiPriority w:val="39"/>
    <w:rsid w:val="00A55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C2C"/>
    <w:rPr>
      <w:color w:val="0000FF"/>
      <w:u w:val="single"/>
    </w:rPr>
  </w:style>
  <w:style w:type="character" w:styleId="CommentReference">
    <w:name w:val="annotation reference"/>
    <w:basedOn w:val="DefaultParagraphFont"/>
    <w:uiPriority w:val="99"/>
    <w:semiHidden/>
    <w:unhideWhenUsed/>
    <w:rsid w:val="005B2587"/>
    <w:rPr>
      <w:sz w:val="16"/>
      <w:szCs w:val="16"/>
    </w:rPr>
  </w:style>
  <w:style w:type="paragraph" w:styleId="CommentText">
    <w:name w:val="annotation text"/>
    <w:basedOn w:val="Normal"/>
    <w:link w:val="CommentTextChar"/>
    <w:uiPriority w:val="99"/>
    <w:semiHidden/>
    <w:unhideWhenUsed/>
    <w:rsid w:val="005B2587"/>
    <w:pPr>
      <w:spacing w:line="240" w:lineRule="auto"/>
    </w:pPr>
    <w:rPr>
      <w:sz w:val="20"/>
      <w:szCs w:val="20"/>
    </w:rPr>
  </w:style>
  <w:style w:type="character" w:customStyle="1" w:styleId="CommentTextChar">
    <w:name w:val="Comment Text Char"/>
    <w:basedOn w:val="DefaultParagraphFont"/>
    <w:link w:val="CommentText"/>
    <w:uiPriority w:val="99"/>
    <w:semiHidden/>
    <w:rsid w:val="005B2587"/>
    <w:rPr>
      <w:sz w:val="20"/>
      <w:szCs w:val="20"/>
    </w:rPr>
  </w:style>
  <w:style w:type="paragraph" w:styleId="CommentSubject">
    <w:name w:val="annotation subject"/>
    <w:basedOn w:val="CommentText"/>
    <w:next w:val="CommentText"/>
    <w:link w:val="CommentSubjectChar"/>
    <w:uiPriority w:val="99"/>
    <w:semiHidden/>
    <w:unhideWhenUsed/>
    <w:rsid w:val="005B2587"/>
    <w:rPr>
      <w:b/>
      <w:bCs/>
    </w:rPr>
  </w:style>
  <w:style w:type="character" w:customStyle="1" w:styleId="CommentSubjectChar">
    <w:name w:val="Comment Subject Char"/>
    <w:basedOn w:val="CommentTextChar"/>
    <w:link w:val="CommentSubject"/>
    <w:uiPriority w:val="99"/>
    <w:semiHidden/>
    <w:rsid w:val="005B2587"/>
    <w:rPr>
      <w:b/>
      <w:bCs/>
      <w:sz w:val="20"/>
      <w:szCs w:val="20"/>
    </w:rPr>
  </w:style>
  <w:style w:type="paragraph" w:styleId="BalloonText">
    <w:name w:val="Balloon Text"/>
    <w:basedOn w:val="Normal"/>
    <w:link w:val="BalloonTextChar"/>
    <w:uiPriority w:val="99"/>
    <w:semiHidden/>
    <w:unhideWhenUsed/>
    <w:rsid w:val="005B2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587"/>
    <w:rPr>
      <w:rFonts w:ascii="Segoe UI" w:hAnsi="Segoe UI" w:cs="Segoe UI"/>
      <w:sz w:val="18"/>
      <w:szCs w:val="18"/>
    </w:rPr>
  </w:style>
  <w:style w:type="paragraph" w:styleId="Revision">
    <w:name w:val="Revision"/>
    <w:hidden/>
    <w:uiPriority w:val="99"/>
    <w:semiHidden/>
    <w:rsid w:val="007267EC"/>
    <w:pPr>
      <w:spacing w:after="0" w:line="240" w:lineRule="auto"/>
    </w:pPr>
  </w:style>
  <w:style w:type="character" w:styleId="UnresolvedMention">
    <w:name w:val="Unresolved Mention"/>
    <w:basedOn w:val="DefaultParagraphFont"/>
    <w:uiPriority w:val="99"/>
    <w:semiHidden/>
    <w:unhideWhenUsed/>
    <w:rsid w:val="00FB753F"/>
    <w:rPr>
      <w:color w:val="605E5C"/>
      <w:shd w:val="clear" w:color="auto" w:fill="E1DFDD"/>
    </w:rPr>
  </w:style>
  <w:style w:type="paragraph" w:styleId="Header">
    <w:name w:val="header"/>
    <w:basedOn w:val="Normal"/>
    <w:link w:val="HeaderChar"/>
    <w:uiPriority w:val="99"/>
    <w:unhideWhenUsed/>
    <w:rsid w:val="0050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E50"/>
  </w:style>
  <w:style w:type="paragraph" w:styleId="Footer">
    <w:name w:val="footer"/>
    <w:basedOn w:val="Normal"/>
    <w:link w:val="FooterChar"/>
    <w:uiPriority w:val="99"/>
    <w:unhideWhenUsed/>
    <w:rsid w:val="0050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E50"/>
  </w:style>
  <w:style w:type="character" w:styleId="FollowedHyperlink">
    <w:name w:val="FollowedHyperlink"/>
    <w:basedOn w:val="DefaultParagraphFont"/>
    <w:uiPriority w:val="99"/>
    <w:semiHidden/>
    <w:unhideWhenUsed/>
    <w:rsid w:val="000A43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64439">
      <w:bodyDiv w:val="1"/>
      <w:marLeft w:val="0"/>
      <w:marRight w:val="0"/>
      <w:marTop w:val="0"/>
      <w:marBottom w:val="0"/>
      <w:divBdr>
        <w:top w:val="none" w:sz="0" w:space="0" w:color="auto"/>
        <w:left w:val="none" w:sz="0" w:space="0" w:color="auto"/>
        <w:bottom w:val="none" w:sz="0" w:space="0" w:color="auto"/>
        <w:right w:val="none" w:sz="0" w:space="0" w:color="auto"/>
      </w:divBdr>
    </w:div>
    <w:div w:id="207954998">
      <w:bodyDiv w:val="1"/>
      <w:marLeft w:val="0"/>
      <w:marRight w:val="0"/>
      <w:marTop w:val="0"/>
      <w:marBottom w:val="0"/>
      <w:divBdr>
        <w:top w:val="none" w:sz="0" w:space="0" w:color="auto"/>
        <w:left w:val="none" w:sz="0" w:space="0" w:color="auto"/>
        <w:bottom w:val="none" w:sz="0" w:space="0" w:color="auto"/>
        <w:right w:val="none" w:sz="0" w:space="0" w:color="auto"/>
      </w:divBdr>
    </w:div>
    <w:div w:id="332224337">
      <w:bodyDiv w:val="1"/>
      <w:marLeft w:val="0"/>
      <w:marRight w:val="0"/>
      <w:marTop w:val="0"/>
      <w:marBottom w:val="0"/>
      <w:divBdr>
        <w:top w:val="none" w:sz="0" w:space="0" w:color="auto"/>
        <w:left w:val="none" w:sz="0" w:space="0" w:color="auto"/>
        <w:bottom w:val="none" w:sz="0" w:space="0" w:color="auto"/>
        <w:right w:val="none" w:sz="0" w:space="0" w:color="auto"/>
      </w:divBdr>
    </w:div>
    <w:div w:id="654073064">
      <w:bodyDiv w:val="1"/>
      <w:marLeft w:val="0"/>
      <w:marRight w:val="0"/>
      <w:marTop w:val="0"/>
      <w:marBottom w:val="0"/>
      <w:divBdr>
        <w:top w:val="none" w:sz="0" w:space="0" w:color="auto"/>
        <w:left w:val="none" w:sz="0" w:space="0" w:color="auto"/>
        <w:bottom w:val="none" w:sz="0" w:space="0" w:color="auto"/>
        <w:right w:val="none" w:sz="0" w:space="0" w:color="auto"/>
      </w:divBdr>
    </w:div>
    <w:div w:id="982853034">
      <w:bodyDiv w:val="1"/>
      <w:marLeft w:val="0"/>
      <w:marRight w:val="0"/>
      <w:marTop w:val="0"/>
      <w:marBottom w:val="0"/>
      <w:divBdr>
        <w:top w:val="none" w:sz="0" w:space="0" w:color="auto"/>
        <w:left w:val="none" w:sz="0" w:space="0" w:color="auto"/>
        <w:bottom w:val="none" w:sz="0" w:space="0" w:color="auto"/>
        <w:right w:val="none" w:sz="0" w:space="0" w:color="auto"/>
      </w:divBdr>
    </w:div>
    <w:div w:id="1006053501">
      <w:bodyDiv w:val="1"/>
      <w:marLeft w:val="0"/>
      <w:marRight w:val="0"/>
      <w:marTop w:val="0"/>
      <w:marBottom w:val="0"/>
      <w:divBdr>
        <w:top w:val="none" w:sz="0" w:space="0" w:color="auto"/>
        <w:left w:val="none" w:sz="0" w:space="0" w:color="auto"/>
        <w:bottom w:val="none" w:sz="0" w:space="0" w:color="auto"/>
        <w:right w:val="none" w:sz="0" w:space="0" w:color="auto"/>
      </w:divBdr>
    </w:div>
    <w:div w:id="1155338374">
      <w:bodyDiv w:val="1"/>
      <w:marLeft w:val="0"/>
      <w:marRight w:val="0"/>
      <w:marTop w:val="0"/>
      <w:marBottom w:val="0"/>
      <w:divBdr>
        <w:top w:val="none" w:sz="0" w:space="0" w:color="auto"/>
        <w:left w:val="none" w:sz="0" w:space="0" w:color="auto"/>
        <w:bottom w:val="none" w:sz="0" w:space="0" w:color="auto"/>
        <w:right w:val="none" w:sz="0" w:space="0" w:color="auto"/>
      </w:divBdr>
    </w:div>
    <w:div w:id="1198619848">
      <w:bodyDiv w:val="1"/>
      <w:marLeft w:val="0"/>
      <w:marRight w:val="0"/>
      <w:marTop w:val="0"/>
      <w:marBottom w:val="0"/>
      <w:divBdr>
        <w:top w:val="none" w:sz="0" w:space="0" w:color="auto"/>
        <w:left w:val="none" w:sz="0" w:space="0" w:color="auto"/>
        <w:bottom w:val="none" w:sz="0" w:space="0" w:color="auto"/>
        <w:right w:val="none" w:sz="0" w:space="0" w:color="auto"/>
      </w:divBdr>
    </w:div>
    <w:div w:id="1601797828">
      <w:bodyDiv w:val="1"/>
      <w:marLeft w:val="0"/>
      <w:marRight w:val="0"/>
      <w:marTop w:val="0"/>
      <w:marBottom w:val="0"/>
      <w:divBdr>
        <w:top w:val="none" w:sz="0" w:space="0" w:color="auto"/>
        <w:left w:val="none" w:sz="0" w:space="0" w:color="auto"/>
        <w:bottom w:val="none" w:sz="0" w:space="0" w:color="auto"/>
        <w:right w:val="none" w:sz="0" w:space="0" w:color="auto"/>
      </w:divBdr>
    </w:div>
    <w:div w:id="1771777915">
      <w:bodyDiv w:val="1"/>
      <w:marLeft w:val="0"/>
      <w:marRight w:val="0"/>
      <w:marTop w:val="0"/>
      <w:marBottom w:val="0"/>
      <w:divBdr>
        <w:top w:val="none" w:sz="0" w:space="0" w:color="auto"/>
        <w:left w:val="none" w:sz="0" w:space="0" w:color="auto"/>
        <w:bottom w:val="none" w:sz="0" w:space="0" w:color="auto"/>
        <w:right w:val="none" w:sz="0" w:space="0" w:color="auto"/>
      </w:divBdr>
    </w:div>
    <w:div w:id="1777140958">
      <w:bodyDiv w:val="1"/>
      <w:marLeft w:val="0"/>
      <w:marRight w:val="0"/>
      <w:marTop w:val="0"/>
      <w:marBottom w:val="0"/>
      <w:divBdr>
        <w:top w:val="none" w:sz="0" w:space="0" w:color="auto"/>
        <w:left w:val="none" w:sz="0" w:space="0" w:color="auto"/>
        <w:bottom w:val="none" w:sz="0" w:space="0" w:color="auto"/>
        <w:right w:val="none" w:sz="0" w:space="0" w:color="auto"/>
      </w:divBdr>
    </w:div>
    <w:div w:id="1783064811">
      <w:bodyDiv w:val="1"/>
      <w:marLeft w:val="0"/>
      <w:marRight w:val="0"/>
      <w:marTop w:val="0"/>
      <w:marBottom w:val="0"/>
      <w:divBdr>
        <w:top w:val="none" w:sz="0" w:space="0" w:color="auto"/>
        <w:left w:val="none" w:sz="0" w:space="0" w:color="auto"/>
        <w:bottom w:val="none" w:sz="0" w:space="0" w:color="auto"/>
        <w:right w:val="none" w:sz="0" w:space="0" w:color="auto"/>
      </w:divBdr>
    </w:div>
    <w:div w:id="1840775479">
      <w:bodyDiv w:val="1"/>
      <w:marLeft w:val="0"/>
      <w:marRight w:val="0"/>
      <w:marTop w:val="0"/>
      <w:marBottom w:val="0"/>
      <w:divBdr>
        <w:top w:val="none" w:sz="0" w:space="0" w:color="auto"/>
        <w:left w:val="none" w:sz="0" w:space="0" w:color="auto"/>
        <w:bottom w:val="none" w:sz="0" w:space="0" w:color="auto"/>
        <w:right w:val="none" w:sz="0" w:space="0" w:color="auto"/>
      </w:divBdr>
    </w:div>
    <w:div w:id="191812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is.nlcsk.org/lg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sc.org/en/unacceptable-activities/cases/holzindustrie-schweighof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sc.org/sites/default/files/2019-06/FSC%20Conditions%20Framework_%20Final_April%202018.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lesytanap.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BFC6CAAB8114EBB7A148E583D3D83" ma:contentTypeVersion="13" ma:contentTypeDescription="Create a new document." ma:contentTypeScope="" ma:versionID="f00d5c4305e027eba204f8d6f142f917">
  <xsd:schema xmlns:xsd="http://www.w3.org/2001/XMLSchema" xmlns:xs="http://www.w3.org/2001/XMLSchema" xmlns:p="http://schemas.microsoft.com/office/2006/metadata/properties" xmlns:ns3="2471c60a-a9bd-44ba-83d0-9e766c743eb3" xmlns:ns4="ce4fbf27-d410-4959-b8cf-00e26af85cf0" targetNamespace="http://schemas.microsoft.com/office/2006/metadata/properties" ma:root="true" ma:fieldsID="06d93760c352f43def718862d946d9a7" ns3:_="" ns4:_="">
    <xsd:import namespace="2471c60a-a9bd-44ba-83d0-9e766c743eb3"/>
    <xsd:import namespace="ce4fbf27-d410-4959-b8cf-00e26af85c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c60a-a9bd-44ba-83d0-9e766c743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fbf27-d410-4959-b8cf-00e26af85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87018-FE57-4EC5-8329-F2CED1ACCEDD}">
  <ds:schemaRefs>
    <ds:schemaRef ds:uri="http://schemas.openxmlformats.org/officeDocument/2006/bibliography"/>
  </ds:schemaRefs>
</ds:datastoreItem>
</file>

<file path=customXml/itemProps2.xml><?xml version="1.0" encoding="utf-8"?>
<ds:datastoreItem xmlns:ds="http://schemas.openxmlformats.org/officeDocument/2006/customXml" ds:itemID="{C1A231A6-B54E-4696-955C-DA31305F1419}">
  <ds:schemaRefs>
    <ds:schemaRef ds:uri="http://schemas.microsoft.com/sharepoint/v3/contenttype/forms"/>
  </ds:schemaRefs>
</ds:datastoreItem>
</file>

<file path=customXml/itemProps3.xml><?xml version="1.0" encoding="utf-8"?>
<ds:datastoreItem xmlns:ds="http://schemas.openxmlformats.org/officeDocument/2006/customXml" ds:itemID="{A7D61C4F-466D-4FCF-A8EC-E1CB0365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1c60a-a9bd-44ba-83d0-9e766c743eb3"/>
    <ds:schemaRef ds:uri="ce4fbf27-d410-4959-b8cf-00e26af85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4A0A6-32EB-49E3-9F21-87674ACD9C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1478</Words>
  <Characters>8426</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9885</CharactersWithSpaces>
  <SharedDoc>false</SharedDoc>
  <HLinks>
    <vt:vector size="6" baseType="variant">
      <vt:variant>
        <vt:i4>7405607</vt:i4>
      </vt:variant>
      <vt:variant>
        <vt:i4>0</vt:i4>
      </vt:variant>
      <vt:variant>
        <vt:i4>0</vt:i4>
      </vt:variant>
      <vt:variant>
        <vt:i4>5</vt:i4>
      </vt:variant>
      <vt:variant>
        <vt:lpwstr>https://www.soilassociation.org/certification/forestry/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Shaw</dc:creator>
  <cp:keywords/>
  <dc:description/>
  <cp:lastModifiedBy>Amparo Arellano Gil</cp:lastModifiedBy>
  <cp:revision>20</cp:revision>
  <dcterms:created xsi:type="dcterms:W3CDTF">2021-10-20T08:06:00Z</dcterms:created>
  <dcterms:modified xsi:type="dcterms:W3CDTF">2021-10-20T10:15:00Z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0x010100023BFC6CAAB8114EBB7A148E583D3D83</vt:lpwstr>
  </property>
</Properties>
</file>